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1</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(hiragana, katakana, kanji); ćwiczenia gramatyczne i słownikowe;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ANG4</w:t>
            </w:r>
          </w:p>
        </w:tc>
        <w:tc>
          <w:tcPr>
            <w:tcW w:type="dxa" w:w="4986"/>
          </w:tcPr>
          <w:p>
            <w:pPr>
              <w:spacing w:before="20" w:after="20"/>
            </w:pPr>
            <w:r>
              <w:rPr>
                <w:rFonts w:ascii="Aptos" w:hAnsi="Aptos"/>
                <w:b w:val="0"/>
                <w:i w:val="0"/>
                <w:sz w:val="22"/>
              </w:rPr>
              <w:t>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Nauka znaków katakany: a,i,u,e,o /  ka,ki,ku,ke,ko,ga,gi,gu,ge,go / lekcja 4 – godziny i minuty</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Nauka znaków katakany:  sa,shi,su,se,so,za,ji,zu,ze,zo /  wybrane znaki kanji, słuchanie, partykuła wo</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Nauka znaków katakany:  ta,chi,tsu,te,to,da,di,du,de,do ,na,ni,nu,ne,no, nauka wybranych znaków kanji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Nauka znaków katakany :ha,hi,fu,he,ho,ba,bi,bu,be,bo,pa,pi,pu,pe / wypracowanie: mój dzień</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Nauka znaków katakany: ma,mi,mu,me,mo, ya,yu,yo, Dodatki do katakany, lekcja 5 -budowanie zdań i pytań, partykuła ka i mo</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Nauka znaków katakany: ra,ri,ru,re,ro,wa,wo,n   Lekcja 6, forma masenka i forma mashō, nowe słownictwo: kino, muzeum, sklep itp. ,</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Nauka znaków katakany nowe znaki kanji, budowanie zdań, partykuła de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Kolokwium 1 (z katakany) / słuchanie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Nauka znaków katakany (dodatki) , budowanie dialogów z czasownikami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Dni tygodnia, miesiące i dni miesiąca, nowe znaki kanji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Partykuły kara i made, słownictwo związane z miejscem i budowa zdań</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Środki transportu i partykuła de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Przymiotniki – i-przymiotniki, na-przymiotniki  i budowa zdań</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Powtórzenie materiału z całego semestru</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kolokwium (z całej katakany)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Materiały własne – przygotowane przez lektorkę Lindę Czernichowską-Kramarz na podstawie własnych pomysłów oraz różnych książek</w:t>
            </w:r>
          </w:p>
          <w:p>
            <w:pPr>
              <w:spacing w:before="20" w:after="20"/>
            </w:pPr>
            <w:r>
              <w:rPr>
                <w:rFonts w:ascii="Aptos" w:hAnsi="Aptos"/>
                <w:sz w:val="22"/>
              </w:rPr>
              <w:t>2. Minna no nihongo I – główny podręcznik  wyd. 3anetwork Japonia</w:t>
            </w:r>
          </w:p>
          <w:p>
            <w:pPr>
              <w:spacing w:before="20" w:after="20"/>
            </w:pPr>
            <w:r>
              <w:rPr>
                <w:rFonts w:ascii="Aptos" w:hAnsi="Aptos"/>
                <w:sz w:val="22"/>
              </w:rPr>
              <w:t>3.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