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Język japoński 4</w:t>
            </w:r>
          </w:p>
        </w:tc>
        <w:tc>
          <w:tcPr>
            <w:tcW w:type="dxa" w:w="4986"/>
            <w:gridSpan w:val="2"/>
          </w:tcPr>
          <w:p>
            <w:pPr>
              <w:spacing w:before="20" w:after="20"/>
            </w:pPr>
            <w:r>
              <w:rPr>
                <w:rFonts w:ascii="Aptos" w:hAnsi="Aptos"/>
                <w:b w:val="0"/>
                <w:i w:val="0"/>
                <w:sz w:val="22"/>
              </w:rPr>
              <w:t>04.03.2026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JAP4</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1</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lektorat</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7</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30</w:t>
            </w:r>
          </w:p>
        </w:tc>
        <w:tc>
          <w:tcPr>
            <w:tcW w:type="dxa" w:w="1994"/>
            <w:gridSpan w:val="2"/>
          </w:tcPr>
          <w:p>
            <w:pPr>
              <w:spacing w:before="20" w:after="20"/>
            </w:pPr>
            <w:r>
              <w:rPr>
                <w:rFonts w:ascii="Aptos" w:hAnsi="Aptos"/>
                <w:b w:val="0"/>
                <w:i w:val="0"/>
                <w:sz w:val="22"/>
              </w:rPr>
              <w:t>1.2</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r>
          </w:p>
        </w:tc>
        <w:tc>
          <w:tcPr>
            <w:tcW w:type="dxa" w:w="1994"/>
            <w:gridSpan w:val="2"/>
          </w:tcPr>
          <w:p>
            <w:pPr>
              <w:spacing w:before="20" w:after="20"/>
            </w:pPr>
            <w:r>
              <w:rPr>
                <w:rFonts w:ascii="Aptos" w:hAnsi="Aptos"/>
                <w:b w:val="0"/>
                <w:i w:val="0"/>
                <w:sz w:val="22"/>
              </w:rPr>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Nauka pisma japońskiego; ćwiczenia gramatyczne i słownikowe na poziomie zaawansowanym; przygotowanie do kolokwiów i testów; ćwiczenie konwersacji.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analiza tekstów z dyskusją</w:t>
            </w:r>
          </w:p>
          <w:p>
            <w:pPr>
              <w:spacing w:before="20" w:after="20"/>
            </w:pPr>
            <w:r>
              <w:rPr>
                <w:rFonts w:ascii="Aptos" w:hAnsi="Aptos"/>
                <w:b w:val="0"/>
                <w:sz w:val="22"/>
              </w:rPr>
              <w:t>• rozwiązywanie zadań</w:t>
            </w:r>
          </w:p>
          <w:p>
            <w:pPr>
              <w:spacing w:before="20" w:after="20"/>
            </w:pPr>
            <w:r>
              <w:rPr>
                <w:rFonts w:ascii="Aptos" w:hAnsi="Aptos"/>
                <w:b w:val="0"/>
                <w:sz w:val="22"/>
              </w:rPr>
              <w:t>• burza mózgów</w:t>
            </w:r>
          </w:p>
          <w:p>
            <w:pPr>
              <w:spacing w:before="20" w:after="20"/>
            </w:pPr>
            <w:r>
              <w:rPr>
                <w:rFonts w:ascii="Aptos" w:hAnsi="Aptos"/>
                <w:b w:val="0"/>
                <w:sz w:val="22"/>
              </w:rPr>
              <w:t>• mind map</w:t>
            </w:r>
          </w:p>
          <w:p>
            <w:pPr>
              <w:spacing w:before="20" w:after="20"/>
            </w:pPr>
            <w:r>
              <w:rPr>
                <w:rFonts w:ascii="Aptos" w:hAnsi="Aptos"/>
                <w:b w:val="0"/>
                <w:sz w:val="22"/>
              </w:rPr>
              <w:t>• praca grupowa nad projektem z wykorzystaniem nowoczesnych technik informatycznych</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kolokwium</w:t>
            </w:r>
          </w:p>
          <w:p>
            <w:pPr>
              <w:spacing w:before="20" w:after="20"/>
            </w:pPr>
            <w:r>
              <w:rPr>
                <w:rFonts w:ascii="Aptos" w:hAnsi="Aptos"/>
                <w:sz w:val="22"/>
              </w:rPr>
              <w:t>2. egzamin ustny</w:t>
            </w:r>
          </w:p>
          <w:p>
            <w:pPr>
              <w:spacing w:before="20" w:after="20"/>
            </w:pPr>
            <w:r>
              <w:rPr>
                <w:rFonts w:ascii="Aptos" w:hAnsi="Aptos"/>
                <w:sz w:val="22"/>
              </w:rPr>
              <w:t>3.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JAP3</w:t>
            </w:r>
          </w:p>
        </w:tc>
        <w:tc>
          <w:tcPr>
            <w:tcW w:type="dxa" w:w="4986"/>
          </w:tcPr>
          <w:p>
            <w:pPr>
              <w:spacing w:before="20" w:after="20"/>
            </w:pPr>
            <w:r>
              <w:rPr>
                <w:rFonts w:ascii="Aptos" w:hAnsi="Aptos"/>
                <w:b w:val="0"/>
                <w:i w:val="0"/>
                <w:sz w:val="22"/>
              </w:rPr>
              <w:t>Zaliczenie JAP3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Nauczanie języka japońskiego od podstaw. Student  opanowuje język japoński w stopniu pozwalającym na komunikację językową w większości sytuacji dnia codziennego i częściowo zawodowego, wyrażanie myśli i opinii, rozumienie i tworzenie krótkich tekstów pisanych i wypowiedzi ustnych na różne tematy. Student poznaje elementy kultury, historii i realiów życia codziennego w Japonii i krajach obszaru języka japońskiego.</w:t>
              <w:br/>
            </w:r>
          </w:p>
          <w:p>
            <w:pPr>
              <w:spacing w:before="80" w:after="20"/>
            </w:pPr>
            <w:r>
              <w:rPr>
                <w:rFonts w:ascii="Aptos" w:hAnsi="Aptos"/>
                <w:b/>
                <w:sz w:val="22"/>
              </w:rPr>
              <w:t>Abstrakt po angielsku:</w:t>
            </w:r>
          </w:p>
          <w:p>
            <w:pPr>
              <w:spacing w:before="20" w:after="20"/>
            </w:pPr>
            <w:r>
              <w:rPr>
                <w:rFonts w:ascii="Aptos" w:hAnsi="Aptos"/>
                <w:i/>
                <w:sz w:val="22"/>
              </w:rPr>
              <w:t>Japanese language instruction from scratch. Students acquire Japanese proficiency enabling communication in most everyday situations and, to some extent, professional contexts, as well as expressing thoughts and opinions and understanding and producing short written texts and spoken statements on various topics. Students also learn about the culture, history, and everyday life of Japan and Japanese-speaking regions.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Konstrukcja gramatyczna : ndesu, teitadakemasenka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Konstrukcja _shi,_shi / ćwiczenie pisemne: ogłoszenie w języku japońskim</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Forma -ga dekimashita / ćwiczenie pisemne: opis postaci „wybrana postać z anime lub mangi”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Znaki kanji  i budowanie zdań</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Znaki kanji i budowanie zdań</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Czasowniki zakładania i zdejmowania – chakudatsudōshi powtórzenie i budowa zdań</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Znaki kanji i budowanie zdań</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Znaki kanji i budowanie zdań</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Nowe kanji i układanie do nich zdań</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Forma -tagatteimasu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Budowa zdań do formy -teshimau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Budowa zdań do formy -teoku,,-tearu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t>Partykuła de -  bnowe zastosowanie partykuły de + czytanka”trzęsienie ziemi w Japonii”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14.</w:t>
            </w:r>
          </w:p>
        </w:tc>
        <w:tc>
          <w:tcPr>
            <w:tcW w:type="dxa" w:w="4536"/>
          </w:tcPr>
          <w:p>
            <w:pPr>
              <w:spacing w:before="20" w:after="20"/>
            </w:pPr>
            <w:r>
              <w:rPr>
                <w:rFonts w:ascii="Aptos" w:hAnsi="Aptos"/>
                <w:b w:val="0"/>
                <w:i w:val="0"/>
                <w:sz w:val="22"/>
              </w:rPr>
              <w:t>Rodzina i klasyfikatory-zadanie ze słuchu + czytanka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15.</w:t>
            </w:r>
          </w:p>
        </w:tc>
        <w:tc>
          <w:tcPr>
            <w:tcW w:type="dxa" w:w="4536"/>
          </w:tcPr>
          <w:p>
            <w:pPr>
              <w:spacing w:before="20" w:after="20"/>
            </w:pPr>
            <w:r>
              <w:rPr>
                <w:rFonts w:ascii="Aptos" w:hAnsi="Aptos"/>
                <w:b w:val="0"/>
                <w:i w:val="0"/>
                <w:sz w:val="22"/>
              </w:rPr>
              <w:t>Nowe kanji i układanie do nich zdań</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16.</w:t>
            </w:r>
          </w:p>
        </w:tc>
        <w:tc>
          <w:tcPr>
            <w:tcW w:type="dxa" w:w="4536"/>
          </w:tcPr>
          <w:p>
            <w:pPr>
              <w:spacing w:before="20" w:after="20"/>
            </w:pPr>
            <w:r>
              <w:rPr>
                <w:rFonts w:ascii="Aptos" w:hAnsi="Aptos"/>
                <w:b w:val="0"/>
                <w:i w:val="0"/>
                <w:sz w:val="22"/>
              </w:rPr>
              <w:t>Wypracowanie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17.</w:t>
            </w:r>
          </w:p>
        </w:tc>
        <w:tc>
          <w:tcPr>
            <w:tcW w:type="dxa" w:w="4536"/>
          </w:tcPr>
          <w:p>
            <w:pPr>
              <w:spacing w:before="20" w:after="20"/>
            </w:pPr>
            <w:r>
              <w:rPr>
                <w:rFonts w:ascii="Aptos" w:hAnsi="Aptos"/>
                <w:b w:val="0"/>
                <w:i w:val="0"/>
                <w:sz w:val="22"/>
              </w:rPr>
              <w:t>Kolokwium z kanji i gramatyki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18.</w:t>
            </w:r>
          </w:p>
        </w:tc>
        <w:tc>
          <w:tcPr>
            <w:tcW w:type="dxa" w:w="4536"/>
          </w:tcPr>
          <w:p>
            <w:pPr>
              <w:spacing w:before="20" w:after="20"/>
            </w:pPr>
            <w:r>
              <w:rPr>
                <w:rFonts w:ascii="Aptos" w:hAnsi="Aptos"/>
                <w:b w:val="0"/>
                <w:i w:val="0"/>
                <w:sz w:val="22"/>
              </w:rPr>
              <w:t>Budowa zdań do formy tsumori desu/yotei desu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19.</w:t>
            </w:r>
          </w:p>
        </w:tc>
        <w:tc>
          <w:tcPr>
            <w:tcW w:type="dxa" w:w="4536"/>
          </w:tcPr>
          <w:p>
            <w:pPr>
              <w:spacing w:before="20" w:after="20"/>
            </w:pPr>
            <w:r>
              <w:rPr>
                <w:rFonts w:ascii="Aptos" w:hAnsi="Aptos"/>
                <w:b w:val="0"/>
                <w:i w:val="0"/>
                <w:sz w:val="22"/>
              </w:rPr>
              <w:t>Klasyfikatory – omówienie wszystkich klasyfikatorów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20.</w:t>
            </w:r>
          </w:p>
        </w:tc>
        <w:tc>
          <w:tcPr>
            <w:tcW w:type="dxa" w:w="4536"/>
          </w:tcPr>
          <w:p>
            <w:pPr>
              <w:spacing w:before="20" w:after="20"/>
            </w:pPr>
            <w:r>
              <w:rPr>
                <w:rFonts w:ascii="Aptos" w:hAnsi="Aptos"/>
                <w:b w:val="0"/>
                <w:i w:val="0"/>
                <w:sz w:val="22"/>
              </w:rPr>
              <w:t>Zadanie ze słuchu – tematyka związana z klasyfikatorami i życia codziennego</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21.</w:t>
            </w:r>
          </w:p>
        </w:tc>
        <w:tc>
          <w:tcPr>
            <w:tcW w:type="dxa" w:w="4536"/>
          </w:tcPr>
          <w:p>
            <w:pPr>
              <w:spacing w:before="20" w:after="20"/>
            </w:pPr>
            <w:r>
              <w:rPr>
                <w:rFonts w:ascii="Aptos" w:hAnsi="Aptos"/>
                <w:b w:val="0"/>
                <w:i w:val="0"/>
                <w:sz w:val="22"/>
              </w:rPr>
              <w:t>Analiza tekstu – czytanka o robotach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22.</w:t>
            </w:r>
          </w:p>
        </w:tc>
        <w:tc>
          <w:tcPr>
            <w:tcW w:type="dxa" w:w="4536"/>
          </w:tcPr>
          <w:p>
            <w:pPr>
              <w:spacing w:before="20" w:after="20"/>
            </w:pPr>
            <w:r>
              <w:rPr>
                <w:rFonts w:ascii="Aptos" w:hAnsi="Aptos"/>
                <w:b w:val="0"/>
                <w:i w:val="0"/>
                <w:sz w:val="22"/>
              </w:rPr>
              <w:t>Próbne testy JLPTN4 ; kanji, gramatyka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23.</w:t>
            </w:r>
          </w:p>
        </w:tc>
        <w:tc>
          <w:tcPr>
            <w:tcW w:type="dxa" w:w="4536"/>
          </w:tcPr>
          <w:p>
            <w:pPr>
              <w:spacing w:before="20" w:after="20"/>
            </w:pPr>
            <w:r>
              <w:rPr>
                <w:rFonts w:ascii="Aptos" w:hAnsi="Aptos"/>
                <w:b w:val="0"/>
                <w:i w:val="0"/>
                <w:sz w:val="22"/>
              </w:rPr>
              <w:t>Próbne testy JLPTN4 ; czytanki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24.</w:t>
            </w:r>
          </w:p>
        </w:tc>
        <w:tc>
          <w:tcPr>
            <w:tcW w:type="dxa" w:w="4536"/>
          </w:tcPr>
          <w:p>
            <w:pPr>
              <w:spacing w:before="20" w:after="20"/>
            </w:pPr>
            <w:r>
              <w:rPr>
                <w:rFonts w:ascii="Aptos" w:hAnsi="Aptos"/>
                <w:b w:val="0"/>
                <w:i w:val="0"/>
                <w:sz w:val="22"/>
              </w:rPr>
              <w:t>Próbne testy JLPTN4 ; słuchanie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25.</w:t>
            </w:r>
          </w:p>
        </w:tc>
        <w:tc>
          <w:tcPr>
            <w:tcW w:type="dxa" w:w="4536"/>
          </w:tcPr>
          <w:p>
            <w:pPr>
              <w:spacing w:before="20" w:after="20"/>
            </w:pPr>
            <w:r>
              <w:rPr>
                <w:rFonts w:ascii="Aptos" w:hAnsi="Aptos"/>
                <w:b w:val="0"/>
                <w:i w:val="0"/>
                <w:sz w:val="22"/>
              </w:rPr>
              <w:t>Powtórzenie matu z całego semestru – budowanie zdań</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26.</w:t>
            </w:r>
          </w:p>
        </w:tc>
        <w:tc>
          <w:tcPr>
            <w:tcW w:type="dxa" w:w="4536"/>
          </w:tcPr>
          <w:p>
            <w:pPr>
              <w:spacing w:before="20" w:after="20"/>
            </w:pPr>
            <w:r>
              <w:rPr>
                <w:rFonts w:ascii="Aptos" w:hAnsi="Aptos"/>
                <w:b w:val="0"/>
                <w:i w:val="0"/>
                <w:sz w:val="22"/>
              </w:rPr>
              <w:t>Różnica między teageru, temorau i tekureru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27.</w:t>
            </w:r>
          </w:p>
        </w:tc>
        <w:tc>
          <w:tcPr>
            <w:tcW w:type="dxa" w:w="4536"/>
          </w:tcPr>
          <w:p>
            <w:pPr>
              <w:spacing w:before="20" w:after="20"/>
            </w:pPr>
            <w:r>
              <w:rPr>
                <w:rFonts w:ascii="Aptos" w:hAnsi="Aptos"/>
                <w:b w:val="0"/>
                <w:i w:val="0"/>
                <w:sz w:val="22"/>
              </w:rPr>
              <w:t>Tryb warunkowy – ba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28.</w:t>
            </w:r>
          </w:p>
        </w:tc>
        <w:tc>
          <w:tcPr>
            <w:tcW w:type="dxa" w:w="4536"/>
          </w:tcPr>
          <w:p>
            <w:pPr>
              <w:spacing w:before="20" w:after="20"/>
            </w:pPr>
            <w:r>
              <w:rPr>
                <w:rFonts w:ascii="Aptos" w:hAnsi="Aptos"/>
                <w:b w:val="0"/>
                <w:i w:val="0"/>
                <w:sz w:val="22"/>
              </w:rPr>
              <w:t>Ćwiczenia z czasownikami przechodnimi/nieprzechodnimi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29.</w:t>
            </w:r>
          </w:p>
        </w:tc>
        <w:tc>
          <w:tcPr>
            <w:tcW w:type="dxa" w:w="4536"/>
          </w:tcPr>
          <w:p>
            <w:pPr>
              <w:spacing w:before="20" w:after="20"/>
            </w:pPr>
            <w:r>
              <w:rPr>
                <w:rFonts w:ascii="Aptos" w:hAnsi="Aptos"/>
                <w:b w:val="0"/>
                <w:i w:val="0"/>
                <w:sz w:val="22"/>
              </w:rPr>
              <w:t>Forma gramatyczna kamoshiremasen</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30.</w:t>
            </w:r>
          </w:p>
        </w:tc>
        <w:tc>
          <w:tcPr>
            <w:tcW w:type="dxa" w:w="4536"/>
          </w:tcPr>
          <w:p>
            <w:pPr>
              <w:spacing w:before="20" w:after="20"/>
            </w:pPr>
            <w:r>
              <w:rPr>
                <w:rFonts w:ascii="Aptos" w:hAnsi="Aptos"/>
                <w:b w:val="0"/>
                <w:i w:val="0"/>
                <w:sz w:val="22"/>
              </w:rPr>
              <w:t>Kolokwium zaliczeniowe</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L. Czernichowska-Kramarz Japoński w obrazkach. Słownik, rozmówki, gramatyka wyd. Edgar</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Minna no nihongo II – główny podręcznik  wyd. 3anetwork Japonia</w:t>
            </w:r>
          </w:p>
          <w:p>
            <w:pPr>
              <w:spacing w:before="20" w:after="20"/>
            </w:pPr>
            <w:r>
              <w:rPr>
                <w:rFonts w:ascii="Aptos" w:hAnsi="Aptos"/>
                <w:sz w:val="22"/>
              </w:rPr>
              <w:t>2. Minna no nihongo I choukai– słuchanie  wyd. 3anetwork Japonia</w:t>
            </w:r>
          </w:p>
          <w:p>
            <w:pPr>
              <w:spacing w:before="20" w:after="20"/>
            </w:pPr>
            <w:r>
              <w:rPr>
                <w:rFonts w:ascii="Aptos" w:hAnsi="Aptos"/>
                <w:sz w:val="22"/>
              </w:rPr>
              <w:t>3. Minna no nihongo II choukai– słuchanie  wyd. 3anetwork Japonia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K_U03</w:t>
            </w:r>
          </w:p>
        </w:tc>
        <w:tc>
          <w:tcPr>
            <w:tcW w:type="dxa" w:w="3324"/>
          </w:tcPr>
          <w:p>
            <w:pPr>
              <w:spacing w:before="20" w:after="20"/>
            </w:pPr>
            <w:r>
              <w:rPr>
                <w:rFonts w:ascii="Aptos" w:hAnsi="Aptos"/>
                <w:b w:val="0"/>
                <w:i w:val="0"/>
                <w:sz w:val="22"/>
              </w:rPr>
              <w:t>Student potrafi konstruować proste wypowiedzi pisemne i ustne w języku japońskim z wykorzystaniem opracowań dydaktycznych zgodnie z zasadami przewidzianymi dla danej formy.</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t>K_U06</w:t>
            </w:r>
          </w:p>
        </w:tc>
        <w:tc>
          <w:tcPr>
            <w:tcW w:type="dxa" w:w="3324"/>
          </w:tcPr>
          <w:p>
            <w:pPr>
              <w:spacing w:before="20" w:after="20"/>
            </w:pPr>
            <w:r>
              <w:rPr>
                <w:rFonts w:ascii="Aptos" w:hAnsi="Aptos"/>
                <w:b w:val="0"/>
                <w:i w:val="0"/>
                <w:sz w:val="22"/>
              </w:rPr>
              <w:t>Student potrafi posługiwać się językiem japońskim w mowie i piśmie na poziomie JLPT N4.</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permanentnego doskonalenia kompetencji językowych w celach zawodowych.</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ciągłego samokształcenia własnych kompetencji językowych oraz dostrzega potrzebę podejmowania inicjatyw w dziedzinach biznesowych.</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