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w grupie nad planem komercjalizacji projektu informatycznego; przygotowanie prezentacji multimedialnej; analiza rynku i strategii wejścia na rynek.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p>
            <w:pPr>
              <w:spacing w:before="20" w:after="20"/>
            </w:pPr>
            <w:r>
              <w:rPr>
                <w:rFonts w:ascii="Aptos" w:hAnsi="Aptos"/>
                <w:b w:val="0"/>
                <w:sz w:val="22"/>
              </w:rPr>
              <w:t>• burza mózgów</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Określenie charakterystyki behawioralnej docelowych odbiorców projektu. Rozróżnianie pojęć klienta-nabywcy i klienta-użytkownika.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sprzedażowych dla różnych segmentów klientów (na podstawie charakterystyki behawioralnej)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wybór najatrakcyjniejszego segmentu innowatorów.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wartości do postaci mierzalnych parametrów stanowiących podstawę do późniejszej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narracji marketingowej.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Omówienie zasad przeprowadzenia ćwiczenia w odniesieniu do pozycji: „partnerzy”, „kluczowe aktywności”, „kluczowe zasoby”, „koszty.”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Dlaczego Twój produkt nie sprzeda się za granicą?!”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