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6)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5 (LEK2)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B2+/C1.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C1. Student osiąga biegłość zawodową i akademicką w języku angielskim pozwalającą na samodzielne prowadzenie projektów, pisanie prac dyplomowych i uczestnictwo w konferencjach naukowych.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 level. Students achieve professional and academic fluency in English enabling them to independently conduct projects, write diploma theses, and participate in scientific conferences.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poprzednich semestrów.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pracy inżynierskiej po angielsku – struktura rozdziałów, styl akademicki, cytowanie.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branżowe z zakresu specjalizacji studenta – analiza tekstów naukowych.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wyników badań – konferencja naukowa: abstrakt, poster, prezentacja.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Zaawansowana komunikacja biznesowa: negocjacje, zarządzanie konfliktem, feedback.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case studies z obszaru IT w języku angielskim – dyskusja i wnioski.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listu motywacyjnego i CV na rynek zagraniczny.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w języku angielskim – zaawansowane symulacje.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Anglojęzyczne standardy i regulacje IT: GDPR, ISO, IEEE – analiza dokumentów.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dyplomowego w języku angielskim –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C1/C2 – ćwiczenia z testów CAE/CPE.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esej akademicki.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Online, Academic Word List.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swobodnie konstruować wypowiedzi pisemne i ustne w języku angielskim na poziomie C1, w tym pisać pracę dyplomową.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na poziomie C1 w środowisku zawodowym i akademickim.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uczestnictwa w międzynarodowych projektach i konferencjach naukowych.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