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 na tablicy</w:t>
            </w:r>
          </w:p>
          <w:p>
            <w:pPr>
              <w:spacing w:before="20" w:after="20"/>
            </w:pPr>
            <w:r>
              <w:rPr>
                <w:rFonts w:ascii="Aptos" w:hAnsi="Aptos"/>
                <w:sz w:val="22"/>
              </w:rPr>
              <w:t>2. rozwiązywanie zadań na tablicy</w:t>
            </w:r>
          </w:p>
          <w:p>
            <w:pPr>
              <w:spacing w:before="20" w:after="20"/>
            </w:pPr>
            <w:r>
              <w:rPr>
                <w:rFonts w:ascii="Aptos" w:hAnsi="Aptos"/>
                <w:sz w:val="22"/>
              </w:rPr>
              <w:t>3. dykusja</w:t>
            </w:r>
          </w:p>
          <w:p>
            <w:pPr>
              <w:spacing w:before="20" w:after="20"/>
            </w:pPr>
            <w:r>
              <w:rPr>
                <w:rFonts w:ascii="Aptos" w:hAnsi="Aptos"/>
                <w:sz w:val="22"/>
              </w:rPr>
              <w:t>4. Kryteria oceny</w:t>
            </w:r>
          </w:p>
          <w:p>
            <w:pPr>
              <w:spacing w:before="20" w:after="20"/>
            </w:pPr>
            <w:r>
              <w:rPr>
                <w:rFonts w:ascii="Aptos" w:hAnsi="Aptos"/>
                <w:sz w:val="22"/>
              </w:rPr>
              <w:t>5. Dwa kolokwia pisemne (każde kolokwium do 10 zadań). Możliwe dodatkowe aktywności takie jak kartkówki, aktywność.  Student jest zobowiązany uzyskać wynik powyżej 50% możliwych do zdobycia sumarycznie z obu kolokwiów.</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Poniżej 50% - ndst</w:t>
            </w:r>
          </w:p>
          <w:p>
            <w:pPr>
              <w:spacing w:before="20" w:after="20"/>
            </w:pPr>
            <w:r>
              <w:rPr>
                <w:rFonts w:ascii="Aptos" w:hAnsi="Aptos"/>
                <w:sz w:val="22"/>
              </w:rPr>
              <w:t>14. Od 50% - dst</w:t>
            </w:r>
          </w:p>
          <w:p>
            <w:pPr>
              <w:spacing w:before="20" w:after="20"/>
            </w:pPr>
            <w:r>
              <w:rPr>
                <w:rFonts w:ascii="Aptos" w:hAnsi="Aptos"/>
                <w:sz w:val="22"/>
              </w:rPr>
              <w:t>15. Od 60% - dst+</w:t>
            </w:r>
          </w:p>
          <w:p>
            <w:pPr>
              <w:spacing w:before="20" w:after="20"/>
            </w:pPr>
            <w:r>
              <w:rPr>
                <w:rFonts w:ascii="Aptos" w:hAnsi="Aptos"/>
                <w:sz w:val="22"/>
              </w:rPr>
              <w:t>16. Od 70% - db</w:t>
            </w:r>
          </w:p>
          <w:p>
            <w:pPr>
              <w:spacing w:before="20" w:after="20"/>
            </w:pPr>
            <w:r>
              <w:rPr>
                <w:rFonts w:ascii="Aptos" w:hAnsi="Aptos"/>
                <w:sz w:val="22"/>
              </w:rPr>
              <w:t>17. Od 80% - db+</w:t>
            </w:r>
          </w:p>
          <w:p>
            <w:pPr>
              <w:spacing w:before="20" w:after="20"/>
            </w:pPr>
            <w:r>
              <w:rPr>
                <w:rFonts w:ascii="Aptos" w:hAnsi="Aptos"/>
                <w:sz w:val="22"/>
              </w:rPr>
              <w:t>18. Od 90% - bdb</w:t>
            </w:r>
          </w:p>
          <w:p>
            <w:pPr>
              <w:spacing w:before="20" w:after="20"/>
            </w:pPr>
            <w:r>
              <w:rPr>
                <w:rFonts w:ascii="Aptos" w:hAnsi="Aptos"/>
                <w:sz w:val="22"/>
              </w:rPr>
              <w:t>19. Przed podejściem do egzaminu student musi zaliczyć część ćwiczeniową.</w:t>
            </w:r>
          </w:p>
        </w:tc>
        <w:tc>
          <w:tcPr>
            <w:tcW w:type="dxa" w:w="4986"/>
          </w:tcPr>
          <w:p>
            <w:pPr>
              <w:spacing w:before="20" w:after="20"/>
            </w:pPr>
            <w:r>
              <w:rPr>
                <w:rFonts w:ascii="Aptos" w:hAnsi="Aptos"/>
                <w:sz w:val="22"/>
              </w:rPr>
              <w:t>1. Rozwiązywanie zadań na tablicy</w:t>
            </w:r>
          </w:p>
          <w:p>
            <w:pPr>
              <w:spacing w:before="20" w:after="20"/>
            </w:pPr>
            <w:r>
              <w:rPr>
                <w:rFonts w:ascii="Aptos" w:hAnsi="Aptos"/>
                <w:sz w:val="22"/>
              </w:rPr>
              <w:t>2. rozwiązywanie zadań na tablicy</w:t>
            </w:r>
          </w:p>
          <w:p>
            <w:pPr>
              <w:spacing w:before="20" w:after="20"/>
            </w:pPr>
            <w:r>
              <w:rPr>
                <w:rFonts w:ascii="Aptos" w:hAnsi="Aptos"/>
                <w:sz w:val="22"/>
              </w:rPr>
              <w:t>3. dykusja</w:t>
            </w:r>
          </w:p>
          <w:p>
            <w:pPr>
              <w:spacing w:before="20" w:after="20"/>
            </w:pPr>
            <w:r>
              <w:rPr>
                <w:rFonts w:ascii="Aptos" w:hAnsi="Aptos"/>
                <w:sz w:val="22"/>
              </w:rPr>
              <w:t>4. Kryteria oceny</w:t>
            </w:r>
          </w:p>
          <w:p>
            <w:pPr>
              <w:spacing w:before="20" w:after="20"/>
            </w:pPr>
            <w:r>
              <w:rPr>
                <w:rFonts w:ascii="Aptos" w:hAnsi="Aptos"/>
                <w:sz w:val="22"/>
              </w:rPr>
              <w:t>5. Dwa kolokwia pisemne (każde kolokwium do 10 zadań). Możliwe dodatkowe aktywności takie jak kartkówki, aktywność.  Student jest zobowiązany uzyskać wynik powyżej 50% możliwych do zdobycia sumarycznie z obu kolokwiów.</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Poniżej 50% - ndst</w:t>
            </w:r>
          </w:p>
          <w:p>
            <w:pPr>
              <w:spacing w:before="20" w:after="20"/>
            </w:pPr>
            <w:r>
              <w:rPr>
                <w:rFonts w:ascii="Aptos" w:hAnsi="Aptos"/>
                <w:sz w:val="22"/>
              </w:rPr>
              <w:t>14. Od 50% - dst</w:t>
            </w:r>
          </w:p>
          <w:p>
            <w:pPr>
              <w:spacing w:before="20" w:after="20"/>
            </w:pPr>
            <w:r>
              <w:rPr>
                <w:rFonts w:ascii="Aptos" w:hAnsi="Aptos"/>
                <w:sz w:val="22"/>
              </w:rPr>
              <w:t>15. Od 60% - dst+</w:t>
            </w:r>
          </w:p>
          <w:p>
            <w:pPr>
              <w:spacing w:before="20" w:after="20"/>
            </w:pPr>
            <w:r>
              <w:rPr>
                <w:rFonts w:ascii="Aptos" w:hAnsi="Aptos"/>
                <w:sz w:val="22"/>
              </w:rPr>
              <w:t>16. Od 70% - db</w:t>
            </w:r>
          </w:p>
          <w:p>
            <w:pPr>
              <w:spacing w:before="20" w:after="20"/>
            </w:pPr>
            <w:r>
              <w:rPr>
                <w:rFonts w:ascii="Aptos" w:hAnsi="Aptos"/>
                <w:sz w:val="22"/>
              </w:rPr>
              <w:t>17. Od 80% - db+</w:t>
            </w:r>
          </w:p>
          <w:p>
            <w:pPr>
              <w:spacing w:before="20" w:after="20"/>
            </w:pPr>
            <w:r>
              <w:rPr>
                <w:rFonts w:ascii="Aptos" w:hAnsi="Aptos"/>
                <w:sz w:val="22"/>
              </w:rPr>
              <w:t>18. Od 90% - bdb</w:t>
            </w:r>
          </w:p>
          <w:p>
            <w:pPr>
              <w:spacing w:before="20" w:after="20"/>
            </w:pPr>
            <w:r>
              <w:rPr>
                <w:rFonts w:ascii="Aptos" w:hAnsi="Aptos"/>
                <w:sz w:val="22"/>
              </w:rPr>
              <w:t>19. Przed podejściem do egzaminu student musi zaliczyć część ćwiczeniową.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Liczby rzeczywiste. Konstrukcja. Własności.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Szeregi liczbowe. Definicja. Kryteria zbieżności. Szeregi naprzemienne.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Rozwijanie funkcji w szereg potęgowy. Zastosowanie rozwinięcia w szereg potęgowy w rachunku różniczkowym.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Równania różniczkowe zwyczajne. Podstawowe metody i zastosowanie.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