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24</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85</w:t>
            </w:r>
          </w:p>
        </w:tc>
        <w:tc>
          <w:tcPr>
            <w:tcW w:type="dxa" w:w="3324"/>
          </w:tcPr>
          <w:p>
            <w:pPr>
              <w:spacing w:before="20" w:after="20"/>
            </w:pPr>
            <w:r>
              <w:rPr>
                <w:rFonts w:ascii="Aptos" w:hAnsi="Aptos"/>
                <w:b w:val="0"/>
                <w:i w:val="0"/>
                <w:sz w:val="22"/>
              </w:rPr>
              <w:t>3.4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poświęcony analizie oceny lub wymagania egzaminacyjnekolejnych zagadnień omawianych w ramach przedmiotu</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Na ćwiczeniach odbędą się dwa kolokwia oraz oceniane aktywności dodatkowe (kartkówki, referaty).</w:t>
            </w:r>
          </w:p>
          <w:p>
            <w:pPr>
              <w:spacing w:before="20" w:after="20"/>
            </w:pPr>
            <w:r>
              <w:rPr>
                <w:rFonts w:ascii="Aptos" w:hAnsi="Aptos"/>
                <w:sz w:val="22"/>
              </w:rPr>
              <w:t>5. Student musi uzyskać minimum 50% punktów możliwych do zdobycia.</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Zdanie egzaminu pisemnyz zadaniami problemowymi oraz testowymi jednokrotnego wyboru wymaga zdobyciaminimum 50% punktów.</w:t>
            </w:r>
          </w:p>
          <w:p>
            <w:pPr>
              <w:spacing w:before="20" w:after="20"/>
            </w:pPr>
            <w:r>
              <w:rPr>
                <w:rFonts w:ascii="Aptos" w:hAnsi="Aptos"/>
                <w:sz w:val="22"/>
              </w:rPr>
              <w:t>14. Skala ocen:</w:t>
            </w:r>
          </w:p>
          <w:p>
            <w:pPr>
              <w:spacing w:before="20" w:after="20"/>
            </w:pPr>
            <w:r>
              <w:rPr>
                <w:rFonts w:ascii="Aptos" w:hAnsi="Aptos"/>
                <w:sz w:val="22"/>
              </w:rPr>
              <w:t>15. Poniżej 50% - ndst</w:t>
            </w:r>
          </w:p>
          <w:p>
            <w:pPr>
              <w:spacing w:before="20" w:after="20"/>
            </w:pPr>
            <w:r>
              <w:rPr>
                <w:rFonts w:ascii="Aptos" w:hAnsi="Aptos"/>
                <w:sz w:val="22"/>
              </w:rPr>
              <w:t>16. Od 50% - dst</w:t>
            </w:r>
          </w:p>
          <w:p>
            <w:pPr>
              <w:spacing w:before="20" w:after="20"/>
            </w:pPr>
            <w:r>
              <w:rPr>
                <w:rFonts w:ascii="Aptos" w:hAnsi="Aptos"/>
                <w:sz w:val="22"/>
              </w:rPr>
              <w:t>17. Od 60% - dst+</w:t>
            </w:r>
          </w:p>
          <w:p>
            <w:pPr>
              <w:spacing w:before="20" w:after="20"/>
            </w:pPr>
            <w:r>
              <w:rPr>
                <w:rFonts w:ascii="Aptos" w:hAnsi="Aptos"/>
                <w:sz w:val="22"/>
              </w:rPr>
              <w:t>18. Od 70% - db</w:t>
            </w:r>
          </w:p>
          <w:p>
            <w:pPr>
              <w:spacing w:before="20" w:after="20"/>
            </w:pPr>
            <w:r>
              <w:rPr>
                <w:rFonts w:ascii="Aptos" w:hAnsi="Aptos"/>
                <w:sz w:val="22"/>
              </w:rPr>
              <w:t>19. Od 80% - db+</w:t>
            </w:r>
          </w:p>
          <w:p>
            <w:pPr>
              <w:spacing w:before="20" w:after="20"/>
            </w:pPr>
            <w:r>
              <w:rPr>
                <w:rFonts w:ascii="Aptos" w:hAnsi="Aptos"/>
                <w:sz w:val="22"/>
              </w:rPr>
              <w:t>20. Od 90% - bdb</w:t>
            </w:r>
          </w:p>
        </w:tc>
        <w:tc>
          <w:tcPr>
            <w:tcW w:type="dxa" w:w="4986"/>
          </w:tcPr>
          <w:p>
            <w:pPr>
              <w:spacing w:before="20" w:after="20"/>
            </w:pPr>
            <w:r>
              <w:rPr>
                <w:rFonts w:ascii="Aptos" w:hAnsi="Aptos"/>
                <w:sz w:val="22"/>
              </w:rPr>
              <w:t>1. Wykład problemowy, poświęcony analizie oceny lub wymagania egzaminacyjnekolejnych zagadnień omawianych w ramach przedmiotu</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Na ćwiczeniach odbędą się dwa kolokwia oraz oceniane aktywności dodatkowe (kartkówki, referaty).</w:t>
            </w:r>
          </w:p>
          <w:p>
            <w:pPr>
              <w:spacing w:before="20" w:after="20"/>
            </w:pPr>
            <w:r>
              <w:rPr>
                <w:rFonts w:ascii="Aptos" w:hAnsi="Aptos"/>
                <w:sz w:val="22"/>
              </w:rPr>
              <w:t>5. Student musi uzyskać minimum 50% punktów możliwych do zdobycia.</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Zdanie egzaminu pisemnyz zadaniami problemowymi oraz testowymi jednokrotnego wyboru wymaga zdobyciaminimum 50% punktów.</w:t>
            </w:r>
          </w:p>
          <w:p>
            <w:pPr>
              <w:spacing w:before="20" w:after="20"/>
            </w:pPr>
            <w:r>
              <w:rPr>
                <w:rFonts w:ascii="Aptos" w:hAnsi="Aptos"/>
                <w:sz w:val="22"/>
              </w:rPr>
              <w:t>14. Skala ocen:</w:t>
            </w:r>
          </w:p>
          <w:p>
            <w:pPr>
              <w:spacing w:before="20" w:after="20"/>
            </w:pPr>
            <w:r>
              <w:rPr>
                <w:rFonts w:ascii="Aptos" w:hAnsi="Aptos"/>
                <w:sz w:val="22"/>
              </w:rPr>
              <w:t>15. Poniżej 50% - ndst</w:t>
            </w:r>
          </w:p>
          <w:p>
            <w:pPr>
              <w:spacing w:before="20" w:after="20"/>
            </w:pPr>
            <w:r>
              <w:rPr>
                <w:rFonts w:ascii="Aptos" w:hAnsi="Aptos"/>
                <w:sz w:val="22"/>
              </w:rPr>
              <w:t>16. Od 50% - dst</w:t>
            </w:r>
          </w:p>
          <w:p>
            <w:pPr>
              <w:spacing w:before="20" w:after="20"/>
            </w:pPr>
            <w:r>
              <w:rPr>
                <w:rFonts w:ascii="Aptos" w:hAnsi="Aptos"/>
                <w:sz w:val="22"/>
              </w:rPr>
              <w:t>17. Od 60% - dst+</w:t>
            </w:r>
          </w:p>
          <w:p>
            <w:pPr>
              <w:spacing w:before="20" w:after="20"/>
            </w:pPr>
            <w:r>
              <w:rPr>
                <w:rFonts w:ascii="Aptos" w:hAnsi="Aptos"/>
                <w:sz w:val="22"/>
              </w:rPr>
              <w:t>18. Od 70% - db</w:t>
            </w:r>
          </w:p>
          <w:p>
            <w:pPr>
              <w:spacing w:before="20" w:after="20"/>
            </w:pPr>
            <w:r>
              <w:rPr>
                <w:rFonts w:ascii="Aptos" w:hAnsi="Aptos"/>
                <w:sz w:val="22"/>
              </w:rPr>
              <w:t>19. Od 80% - db+</w:t>
            </w:r>
          </w:p>
          <w:p>
            <w:pPr>
              <w:spacing w:before="20" w:after="20"/>
            </w:pPr>
            <w:r>
              <w:rPr>
                <w:rFonts w:ascii="Aptos" w:hAnsi="Aptos"/>
                <w:sz w:val="22"/>
              </w:rPr>
              <w:t>20.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Algorytmy iproblemy algorytmiczne; Złożoność czasowa i pamięciowa; przykłady.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Specyfikowanie problemów, własność stopu, problemy nierozstrzygalne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Logika Hoare’ai metody dowodzenia własności stopu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Proste algorytmy sortujące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Quicksort; algorytmy sortujące w czasie liniowym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Programowanie dynamiczne i zachłanne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Kolejki, stosy, listy i drzewa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Tablice z haszowaniem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Twierdzenie o rekursji uniwersalnej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Drzewa BST, drzewa czerwono-czarne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Algorytmy grafowe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teorii złożoności, klasy złożoności, metody redukcji i problemy zupełne w klasie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Języki formalne – języki regularne, kontekstowe i bezkontekstowe,automaty i gramatyki.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