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Future of Deep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 w Google Colab (pierwsze 10 zajęć).</w:t>
            </w:r>
          </w:p>
          <w:p>
            <w:pPr>
              <w:spacing w:before="20" w:after="20"/>
            </w:pPr>
            <w:r>
              <w:rPr>
                <w:rFonts w:ascii="Aptos" w:hAnsi="Aptos"/>
                <w:sz w:val="22"/>
              </w:rPr>
              <w:t>3. Seminarium (ostatnie 5 zajęć).</w:t>
            </w:r>
          </w:p>
          <w:p>
            <w:pPr>
              <w:spacing w:before="20" w:after="20"/>
            </w:pPr>
            <w:r>
              <w:rPr>
                <w:rFonts w:ascii="Aptos" w:hAnsi="Aptos"/>
                <w:sz w:val="22"/>
              </w:rPr>
              <w:t>4. Laboratorium oraz Seminarium</w:t>
            </w:r>
          </w:p>
          <w:p>
            <w:pPr>
              <w:spacing w:before="20" w:after="20"/>
            </w:pPr>
            <w:r>
              <w:rPr>
                <w:rFonts w:ascii="Aptos" w:hAnsi="Aptos"/>
                <w:sz w:val="22"/>
              </w:rPr>
              <w:t>5. Kryteria oceny</w:t>
            </w:r>
          </w:p>
          <w:p>
            <w:pPr>
              <w:spacing w:before="20" w:after="20"/>
            </w:pPr>
            <w:r>
              <w:rPr>
                <w:rFonts w:ascii="Aptos" w:hAnsi="Aptos"/>
                <w:sz w:val="22"/>
              </w:rPr>
              <w:t>6. Ocena zadań laboratoryjnych.  Prezentacja seminaryjna</w:t>
            </w:r>
          </w:p>
          <w:p>
            <w:pPr>
              <w:spacing w:before="20" w:after="20"/>
            </w:pPr>
            <w:r>
              <w:rPr>
                <w:rFonts w:ascii="Aptos" w:hAnsi="Aptos"/>
                <w:sz w:val="22"/>
              </w:rPr>
              <w:t>7. Wykład:Brak</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 w Google Colab (pierwsze 10 zajęć).</w:t>
            </w:r>
          </w:p>
          <w:p>
            <w:pPr>
              <w:spacing w:before="20" w:after="20"/>
            </w:pPr>
            <w:r>
              <w:rPr>
                <w:rFonts w:ascii="Aptos" w:hAnsi="Aptos"/>
                <w:sz w:val="22"/>
              </w:rPr>
              <w:t>3. Seminarium (ostatnie 5 zajęć).</w:t>
            </w:r>
          </w:p>
          <w:p>
            <w:pPr>
              <w:spacing w:before="20" w:after="20"/>
            </w:pPr>
            <w:r>
              <w:rPr>
                <w:rFonts w:ascii="Aptos" w:hAnsi="Aptos"/>
                <w:sz w:val="22"/>
              </w:rPr>
              <w:t>4. Laboratorium oraz Seminarium</w:t>
            </w:r>
          </w:p>
          <w:p>
            <w:pPr>
              <w:spacing w:before="20" w:after="20"/>
            </w:pPr>
            <w:r>
              <w:rPr>
                <w:rFonts w:ascii="Aptos" w:hAnsi="Aptos"/>
                <w:sz w:val="22"/>
              </w:rPr>
              <w:t>5. Kryteria oceny</w:t>
            </w:r>
          </w:p>
          <w:p>
            <w:pPr>
              <w:spacing w:before="20" w:after="20"/>
            </w:pPr>
            <w:r>
              <w:rPr>
                <w:rFonts w:ascii="Aptos" w:hAnsi="Aptos"/>
                <w:sz w:val="22"/>
              </w:rPr>
              <w:t>6. Ocena zadań laboratoryjnych.  Prezentacja seminaryjna</w:t>
            </w:r>
          </w:p>
          <w:p>
            <w:pPr>
              <w:spacing w:before="20" w:after="20"/>
            </w:pPr>
            <w:r>
              <w:rPr>
                <w:rFonts w:ascii="Aptos" w:hAnsi="Aptos"/>
                <w:sz w:val="22"/>
              </w:rPr>
              <w:t>7. Wykład:Brak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Podstawy uczenia maszynowego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Self-supervised learning.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Foundation models.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Modele języka.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Testy statystyczne.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Organizacja eksperymentów.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Testy statystyczne.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Responsible AI.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AI w medycynie.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Analiza literatury.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Jak pisać artykuły naukowe.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Transfer learning.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Optymalizacja modeli.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Multitask learning i multimodal learning.</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