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Grafika Komputerowa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GRK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Kryteria oceny</w:t>
            </w:r>
          </w:p>
          <w:p>
            <w:pPr>
              <w:spacing w:before="20" w:after="20"/>
            </w:pPr>
            <w:r>
              <w:rPr>
                <w:rFonts w:ascii="Aptos" w:hAnsi="Aptos"/>
                <w:sz w:val="22"/>
              </w:rPr>
              <w:t>4. Zaliczenie ćwiczeń polega na zbieraniu punktów:</w:t>
            </w:r>
          </w:p>
          <w:p>
            <w:pPr>
              <w:spacing w:before="20" w:after="20"/>
            </w:pPr>
            <w:r>
              <w:rPr>
                <w:rFonts w:ascii="Aptos" w:hAnsi="Aptos"/>
                <w:sz w:val="22"/>
              </w:rPr>
              <w:t>5. 50% możliwych punktów daje ocenę 3</w:t>
            </w:r>
          </w:p>
          <w:p>
            <w:pPr>
              <w:spacing w:before="20" w:after="20"/>
            </w:pPr>
            <w:r>
              <w:rPr>
                <w:rFonts w:ascii="Aptos" w:hAnsi="Aptos"/>
                <w:sz w:val="22"/>
              </w:rPr>
              <w:t>6. 60% punktów daje ocenę 3½</w:t>
            </w:r>
          </w:p>
          <w:p>
            <w:pPr>
              <w:spacing w:before="20" w:after="20"/>
            </w:pPr>
            <w:r>
              <w:rPr>
                <w:rFonts w:ascii="Aptos" w:hAnsi="Aptos"/>
                <w:sz w:val="22"/>
              </w:rPr>
              <w:t>7. 70% — ocenę 4</w:t>
            </w:r>
          </w:p>
          <w:p>
            <w:pPr>
              <w:spacing w:before="20" w:after="20"/>
            </w:pPr>
            <w:r>
              <w:rPr>
                <w:rFonts w:ascii="Aptos" w:hAnsi="Aptos"/>
                <w:sz w:val="22"/>
              </w:rPr>
              <w:t>8. 80% — 4½</w:t>
            </w:r>
          </w:p>
          <w:p>
            <w:pPr>
              <w:spacing w:before="20" w:after="20"/>
            </w:pPr>
            <w:r>
              <w:rPr>
                <w:rFonts w:ascii="Aptos" w:hAnsi="Aptos"/>
                <w:sz w:val="22"/>
              </w:rPr>
              <w:t>9. 90% i więcej — 5</w:t>
            </w:r>
          </w:p>
          <w:p>
            <w:pPr>
              <w:spacing w:before="20" w:after="20"/>
            </w:pPr>
            <w:r>
              <w:rPr>
                <w:rFonts w:ascii="Aptos" w:hAnsi="Aptos"/>
                <w:sz w:val="22"/>
              </w:rPr>
              <w:t>10. Test wyboru, 20 pytań. Każda poprawna odpowiedź warta jest 1 punkt. Zasady zaliczenia: 19–20 punktów: 5, 17–18 punktów: 4 12 , 14–16 punktów: 4, 11–13 punktów: 3 12 , 8–10 punktów: 3. Mniej niż 8 punktów: 2</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Kryteria oceny</w:t>
            </w:r>
          </w:p>
          <w:p>
            <w:pPr>
              <w:spacing w:before="20" w:after="20"/>
            </w:pPr>
            <w:r>
              <w:rPr>
                <w:rFonts w:ascii="Aptos" w:hAnsi="Aptos"/>
                <w:sz w:val="22"/>
              </w:rPr>
              <w:t>4. Zaliczenie ćwiczeń polega na zbieraniu punktów:</w:t>
            </w:r>
          </w:p>
          <w:p>
            <w:pPr>
              <w:spacing w:before="20" w:after="20"/>
            </w:pPr>
            <w:r>
              <w:rPr>
                <w:rFonts w:ascii="Aptos" w:hAnsi="Aptos"/>
                <w:sz w:val="22"/>
              </w:rPr>
              <w:t>5. 50% możliwych punktów daje ocenę 3</w:t>
            </w:r>
          </w:p>
          <w:p>
            <w:pPr>
              <w:spacing w:before="20" w:after="20"/>
            </w:pPr>
            <w:r>
              <w:rPr>
                <w:rFonts w:ascii="Aptos" w:hAnsi="Aptos"/>
                <w:sz w:val="22"/>
              </w:rPr>
              <w:t>6. 60% punktów daje ocenę 3½</w:t>
            </w:r>
          </w:p>
          <w:p>
            <w:pPr>
              <w:spacing w:before="20" w:after="20"/>
            </w:pPr>
            <w:r>
              <w:rPr>
                <w:rFonts w:ascii="Aptos" w:hAnsi="Aptos"/>
                <w:sz w:val="22"/>
              </w:rPr>
              <w:t>7. 70% — ocenę 4</w:t>
            </w:r>
          </w:p>
          <w:p>
            <w:pPr>
              <w:spacing w:before="20" w:after="20"/>
            </w:pPr>
            <w:r>
              <w:rPr>
                <w:rFonts w:ascii="Aptos" w:hAnsi="Aptos"/>
                <w:sz w:val="22"/>
              </w:rPr>
              <w:t>8. 80% — 4½</w:t>
            </w:r>
          </w:p>
          <w:p>
            <w:pPr>
              <w:spacing w:before="20" w:after="20"/>
            </w:pPr>
            <w:r>
              <w:rPr>
                <w:rFonts w:ascii="Aptos" w:hAnsi="Aptos"/>
                <w:sz w:val="22"/>
              </w:rPr>
              <w:t>9. 90% i więcej — 5</w:t>
            </w:r>
          </w:p>
          <w:p>
            <w:pPr>
              <w:spacing w:before="20" w:after="20"/>
            </w:pPr>
            <w:r>
              <w:rPr>
                <w:rFonts w:ascii="Aptos" w:hAnsi="Aptos"/>
                <w:sz w:val="22"/>
              </w:rPr>
              <w:t>10. Test wyboru, 20 pytań. Każda poprawna odpowiedź warta jest 1 punkt. Zasady zaliczenia: 19–20 punktów: 5, 17–18 punktów: 4 12 , 14–16 punktów: 4, 11–13 punktów: 3 12 , 8–10 punktów: 3. Mniej niż 8 punktów: 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 Algebra liniowa i geometria  (ALG)</w:t>
            </w:r>
          </w:p>
        </w:tc>
        <w:tc>
          <w:tcPr>
            <w:tcW w:type="dxa" w:w="4986"/>
          </w:tcPr>
          <w:p>
            <w:pPr>
              <w:spacing w:before="20" w:after="20"/>
            </w:pPr>
            <w:r>
              <w:rPr>
                <w:rFonts w:ascii="Aptos" w:hAnsi="Aptos"/>
                <w:b w:val="0"/>
                <w:i w:val="0"/>
                <w:sz w:val="22"/>
              </w:rPr>
              <w:t>• Analiza matematyczna  (AM)</w:t>
            </w:r>
          </w:p>
        </w:tc>
      </w:tr>
      <w:tr>
        <w:tc>
          <w:tcPr>
            <w:tcW w:type="dxa" w:w="4986"/>
          </w:tcPr>
          <w:p>
            <w:pPr>
              <w:spacing w:before="20" w:after="20"/>
            </w:pPr>
            <w:r>
              <w:rPr>
                <w:rFonts w:ascii="Aptos" w:hAnsi="Aptos"/>
                <w:b w:val="0"/>
                <w:i w:val="0"/>
                <w:sz w:val="22"/>
              </w:rPr>
              <w:t>• Algorytmy i struktury danych (ASD)</w:t>
            </w:r>
          </w:p>
        </w:tc>
        <w:tc>
          <w:tcPr>
            <w:tcW w:type="dxa" w:w="4986"/>
          </w:tcPr>
          <w:p>
            <w:pPr>
              <w:spacing w:before="20" w:after="20"/>
            </w:pPr>
            <w:r>
              <w:rPr>
                <w:rFonts w:ascii="Aptos" w:hAnsi="Aptos"/>
                <w:b w:val="0"/>
                <w:i w:val="0"/>
                <w:sz w:val="22"/>
              </w:rPr>
              <w:t>• programowanie w C/C++</w:t>
            </w:r>
          </w:p>
        </w:tc>
      </w:tr>
      <w:tr>
        <w:tc>
          <w:tcPr>
            <w:tcW w:type="dxa" w:w="4986"/>
          </w:tcPr>
          <w:p>
            <w:pPr>
              <w:spacing w:before="20" w:after="20"/>
            </w:pPr>
            <w:r>
              <w:rPr>
                <w:rFonts w:ascii="Aptos" w:hAnsi="Aptos"/>
                <w:b w:val="0"/>
                <w:i w:val="0"/>
                <w:sz w:val="22"/>
              </w:rPr>
              <w:t>• operacje na macierzach</w:t>
            </w:r>
          </w:p>
        </w:tc>
        <w:tc>
          <w:tcPr>
            <w:tcW w:type="dxa" w:w="4986"/>
          </w:tcPr>
          <w:p>
            <w:pPr>
              <w:spacing w:before="20" w:after="20"/>
            </w:pPr>
            <w:r>
              <w:rPr>
                <w:rFonts w:ascii="Aptos" w:hAnsi="Aptos"/>
                <w:b w:val="0"/>
                <w:i w:val="0"/>
                <w:sz w:val="22"/>
              </w:rPr>
              <w:t>• przekształcenia liniowe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kształcenia jest nabycie umiejętności tworzenia obrazów z wykorzystaniem standardowego API graficznego (biblioteki OpenGL i renderera Blender) oraz realizacji podstawowych transformacji obrazów 2- i 3-wymiarowych.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acquire the ability to create images using standard graphics APIs (the OpenGL library and the Blender renderer) and to perform basic 2D and 3D image transformations.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Wykład: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Percepcja wizualna i modele barw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Algorytmy rastrowe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Formaty plików graficznych i kompresja obrazów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Biblioteka LibPNG. Wizualizacja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Biblioteka Jpeglib.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Geometria Liniowa 3W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Geometria Afiniczna 3W.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Rzutowanie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Podstawy oświetlenia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Podstawy teksturowania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Podstawy OpenGL i GLSL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Transformacje w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Podstawy teksturowania w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Podstawy Krzywych i powierzchni Béziera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Metoda śledzenia promieni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Podstawy Blendera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Podstawy edycji masha.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Materiały i tekstury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Ustawienia środowiska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Podstawy Animacji. System cząstek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Postprocessing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Format svg.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Algorytmy rastrowe.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Filtry punktowe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Geometryczne przekształcenie obrazów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Podstawy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Przekształcenia w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Teksturowanie w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31.</w:t>
            </w:r>
          </w:p>
        </w:tc>
        <w:tc>
          <w:tcPr>
            <w:tcW w:type="dxa" w:w="3324"/>
          </w:tcPr>
          <w:p>
            <w:pPr>
              <w:spacing w:before="20" w:after="20"/>
            </w:pPr>
            <w:r>
              <w:rPr>
                <w:rFonts w:ascii="Aptos" w:hAnsi="Aptos"/>
                <w:b w:val="0"/>
                <w:i w:val="0"/>
                <w:sz w:val="22"/>
              </w:rPr>
              <w:t>Oświetlenie w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Modelowanie za pomocą krzywych i powierzchni Béziera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Jankowski: Elementy grafiki komputerowej. WNT 2006.</w:t>
            </w:r>
          </w:p>
          <w:p>
            <w:pPr>
              <w:spacing w:before="20" w:after="20"/>
            </w:pPr>
            <w:r>
              <w:rPr>
                <w:rFonts w:ascii="Aptos" w:hAnsi="Aptos"/>
                <w:sz w:val="22"/>
              </w:rPr>
              <w:t>2. S. R. Buss: 3D Computer Graphics: A Mathematical Introduction with OpenGL.Revision draft Draft A.10.b. May 28, 2019.</w:t>
            </w:r>
          </w:p>
          <w:p>
            <w:pPr>
              <w:spacing w:before="20" w:after="20"/>
            </w:pPr>
            <w:r>
              <w:rPr>
                <w:rFonts w:ascii="Aptos" w:hAnsi="Aptos"/>
                <w:sz w:val="22"/>
              </w:rPr>
              <w:t>3. Przemyslaw Kiciak: Podstawy modelowania krzywych i powierzchni, Wydawnictwo Naukowe PWN, 2019</w:t>
            </w:r>
          </w:p>
          <w:p>
            <w:pPr>
              <w:spacing w:before="20" w:after="20"/>
            </w:pPr>
            <w:r>
              <w:rPr>
                <w:rFonts w:ascii="Aptos" w:hAnsi="Aptos"/>
                <w:sz w:val="22"/>
              </w:rPr>
              <w:t>4. Przemyslaw Kiciak: OpenGL i GLSL, Część III Gandalf.com.pl, Wydawnictwo Naukowe PWN, 2019</w:t>
            </w:r>
          </w:p>
          <w:p>
            <w:pPr>
              <w:spacing w:before="20" w:after="20"/>
            </w:pPr>
            <w:r>
              <w:rPr>
                <w:rFonts w:ascii="Aptos" w:hAnsi="Aptos"/>
                <w:sz w:val="22"/>
              </w:rPr>
              <w:t>5. Graham Sellers, Richard S. Wright Jr., Nicholas Haemel, OpenGL. Księga eksperta. Wydanie VII Helion 2016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Jim Chronister: Blender Basics Classroom Tutorial Book. 4th edition, 2011</w:t>
            </w:r>
          </w:p>
          <w:p>
            <w:pPr>
              <w:spacing w:before="20" w:after="20"/>
            </w:pPr>
            <w:r>
              <w:rPr>
                <w:rFonts w:ascii="Aptos" w:hAnsi="Aptos"/>
                <w:sz w:val="22"/>
              </w:rPr>
              <w:t>2. Wojciech Mokrzycki: Wprowadzenie do przetwarzania informacji wizualnej, tom I. Percepcja, akwizycja, wizualizacja EXIT2010978-83-60434-76-5</w:t>
            </w:r>
          </w:p>
          <w:p>
            <w:pPr>
              <w:spacing w:before="20" w:after="20"/>
            </w:pPr>
            <w:r>
              <w:rPr>
                <w:rFonts w:ascii="Aptos" w:hAnsi="Aptos"/>
                <w:sz w:val="22"/>
              </w:rPr>
              <w:t>3. David Austin: What is JPEG? Notices of the AMS, Volume 55, Number 2, pages 226–229, 2008.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matematyczne podstawy grafiki komputerowej: algebrę liniową (wektory, macierze transformacji, układy współrzędnych), geometrię obliczeniową i podstawy optyki geometrycznej. [K_W11]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zasady działania potoku renderowania GPU (vertex/fragment shader, rasteryzacja, z-buffer, blending) oraz podstawowe algorytmy syntezy obrazu: rzutowanie, oświetlenie (Phong, PBR), cieniowanie. [K_W11]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podstawowe pojęcia z zakresu komunikacji człowiek-komputer: zasady użyteczności, projektowanie interfejsu graficznego (GUI) i zasady dostępności (WCAG). [K_W11]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zastosować aparat matematyczny (algebrę liniową, geometrię obliczeniową) do rozwiązywania problemów z zakresu grafiki komputerowej i transformacji przestrzennych. [K_U07]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zaprogramować aplikację grafiki 2D i 3D z użyciem nowoczesnego API (OpenGL 4.x / Vulkan / WebGL) lub silnika (Unity/Godot), implementując shadery i efekty postprocessingu. [K_U17]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zaprojektować i zaimplementować graficzny interfejs użytkownika z uwzględnieniem zasad użyteczności i przeprowadzić podstawowe testy użyteczności. [K_U17]</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rozwijania kompetencji w dynamicznie zmieniającym się obszarze grafiki komputerowej i GPU computing.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rozwiązań graficznych pod kątem wydajności, jakości wizualnej i dostępności dla użytkownika końcowego. [K_K05]</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