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4</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0.6</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59</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75</w:t>
            </w:r>
          </w:p>
        </w:tc>
        <w:tc>
          <w:tcPr>
            <w:tcW w:type="dxa" w:w="3324"/>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Cwiczenia:</w:t>
            </w:r>
          </w:p>
          <w:p>
            <w:pPr>
              <w:spacing w:before="20" w:after="20"/>
            </w:pPr>
            <w:r>
              <w:rPr>
                <w:rFonts w:ascii="Aptos" w:hAnsi="Aptos"/>
                <w:b w:val="0"/>
                <w:sz w:val="22"/>
              </w:rPr>
              <w:t>• analiza tekstów z dyskusją, metoda projektów (projekt praktyczny), praca w grupach, dyskusja, rozwiązywanie zadań, burza mózgów, mind map praca grupowa nad projektem z wykorzystaniem nowoczesnych technik informatycznych,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c>
          <w:tcPr>
            <w:tcW w:type="dxa" w:w="4986"/>
          </w:tcPr>
          <w:p>
            <w:pPr>
              <w:spacing w:before="20" w:after="20"/>
            </w:pPr>
            <w:r>
              <w:rPr>
                <w:rFonts w:ascii="Aptos" w:hAnsi="Aptos"/>
                <w:sz w:val="22"/>
              </w:rPr>
              <w:t>1. Obecność na zajęciach – zgodnie z regulaminem 15% nieobecności nieustawiedliwionych, 15% nieobecności usprawiedliwionych</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1-2 na semestr (decyzja lektora)</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pisemne/testy/formę zaliczenia ustaloną przez lektora na podstawie poziomu grupy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HIS3</w:t>
            </w:r>
          </w:p>
        </w:tc>
        <w:tc>
          <w:tcPr>
            <w:tcW w:type="dxa" w:w="4986"/>
          </w:tcPr>
          <w:p>
            <w:pPr>
              <w:spacing w:before="20" w:after="20"/>
            </w:pPr>
            <w:r>
              <w:rPr>
                <w:rFonts w:ascii="Aptos" w:hAnsi="Aptos"/>
                <w:b w:val="0"/>
                <w:i w:val="0"/>
                <w:sz w:val="22"/>
              </w:rPr>
              <w:t>Zagadnienia poznana podczas HIS3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od poziomu A1 do 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pPr>
              <w:spacing w:before="80" w:after="20"/>
            </w:pPr>
            <w:r>
              <w:rPr>
                <w:rFonts w:ascii="Aptos" w:hAnsi="Aptos"/>
                <w:b/>
                <w:sz w:val="22"/>
              </w:rPr>
              <w:t>Abstrakt po angielsku:</w:t>
            </w:r>
          </w:p>
          <w:p>
            <w:pPr>
              <w:spacing w:before="20" w:after="20"/>
            </w:pPr>
            <w:r>
              <w:rPr>
                <w:rFonts w:ascii="Aptos" w:hAnsi="Aptos"/>
                <w:i/>
                <w:sz w:val="22"/>
              </w:rPr>
              <w:t>Spanish language instruction from A2 to B1 level. Students acquire Spanish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1) Jakiego koloru są moje włosy? – opis postaci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2) Części ciała, choroby, wyrażenia radości i innych uczuć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3) Jedziemy na wakacje: uzyskiwanie informacji, wyrażanie preferencji, zapraszanie, kupowanie biletu, czas przyszły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4) Złamałem nogę – nasze zdrowie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5) Biografía ważnej osoby: pomówmy o wydarzeniach historycznych; czas przeszły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6) Moda: co ona lubi nosić? Jakie spodnie ma Javier?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7) Zdjęcie rodzinne: opisujemy członków naszej rodziny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8) Wakacje: nasze plany</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Spychała-Wawrzyniak, X. Pascual López, A. Dudziak-Szukała, A. Kaźmierczak, J.C. García González, Descrubre 1, Wydawnictwo DRACO,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hiszpańskim z wykorzystaniem opracowań dydaktycznych zgodnie z zasadami przewidzianymi dla danej formy.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hiszpańskim w mowie i piśmie na poziomie podstawowym.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