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Język japoński 4</w:t>
            </w:r>
          </w:p>
        </w:tc>
        <w:tc>
          <w:tcPr>
            <w:tcW w:type="dxa" w:w="4986"/>
            <w:gridSpan w:val="2"/>
          </w:tcPr>
          <w:p>
            <w:pPr>
              <w:spacing w:before="20" w:after="20"/>
            </w:pPr>
            <w:r>
              <w:rPr>
                <w:rFonts w:ascii="Aptos" w:hAnsi="Aptos"/>
                <w:b w:val="0"/>
                <w:i w:val="0"/>
                <w:sz w:val="22"/>
              </w:rPr>
              <w:t>05.03.2026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JAP4</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Gdańsku</w:t>
            </w:r>
          </w:p>
        </w:tc>
        <w:tc>
          <w:tcPr>
            <w:tcW w:type="dxa" w:w="4986"/>
            <w:gridSpan w:val="2"/>
          </w:tcPr>
          <w:p>
            <w:pPr>
              <w:spacing w:before="20" w:after="20"/>
            </w:pPr>
            <w:r>
              <w:rPr>
                <w:rFonts w:ascii="Aptos" w:hAnsi="Aptos"/>
                <w:b w:val="0"/>
                <w:i w:val="0"/>
                <w:sz w:val="22"/>
              </w:rPr>
              <w:t>3</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niestacjonarny</w:t>
            </w:r>
          </w:p>
        </w:tc>
        <w:tc>
          <w:tcPr>
            <w:tcW w:type="dxa" w:w="1662"/>
          </w:tcPr>
          <w:p>
            <w:pPr>
              <w:spacing w:before="20" w:after="20"/>
            </w:pPr>
            <w:r>
              <w:rPr>
                <w:rFonts w:ascii="Aptos" w:hAnsi="Aptos"/>
                <w:b w:val="0"/>
                <w:i w:val="0"/>
                <w:sz w:val="22"/>
              </w:rPr>
              <w:t>lektorat</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8</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Studium Języków Obcych</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9.  Formy zajęć, sposób ich realizacji i przypisana im liczba godzin:</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2493"/>
            <w:shd w:val="clear" w:color="auto" w:fill="D9D9D9"/>
          </w:tcPr>
          <w:p>
            <w:pPr>
              <w:spacing w:before="20" w:after="20"/>
            </w:pPr>
            <w:r>
              <w:rPr>
                <w:rFonts w:ascii="Aptos" w:hAnsi="Aptos"/>
                <w:b/>
                <w:i w:val="0"/>
                <w:sz w:val="16"/>
              </w:rPr>
              <w:t>wykład</w:t>
            </w:r>
          </w:p>
        </w:tc>
        <w:tc>
          <w:tcPr>
            <w:tcW w:type="dxa" w:w="2493"/>
            <w:shd w:val="clear" w:color="auto" w:fill="D9D9D9"/>
          </w:tcPr>
          <w:p>
            <w:pPr>
              <w:spacing w:before="20" w:after="20"/>
            </w:pPr>
            <w:r>
              <w:rPr>
                <w:rFonts w:ascii="Aptos" w:hAnsi="Aptos"/>
                <w:b/>
                <w:i w:val="0"/>
                <w:sz w:val="16"/>
              </w:rPr>
              <w:t>ćwiczenia/laboratorium/pracownia</w:t>
            </w:r>
          </w:p>
        </w:tc>
        <w:tc>
          <w:tcPr>
            <w:tcW w:type="dxa" w:w="2493"/>
            <w:shd w:val="clear" w:color="auto" w:fill="D9D9D9"/>
          </w:tcPr>
          <w:p>
            <w:pPr>
              <w:spacing w:before="20" w:after="20"/>
            </w:pPr>
            <w:r>
              <w:rPr>
                <w:rFonts w:ascii="Aptos" w:hAnsi="Aptos"/>
                <w:b/>
                <w:i w:val="0"/>
                <w:sz w:val="16"/>
              </w:rPr>
              <w:t>wykład internetowo</w:t>
            </w:r>
          </w:p>
        </w:tc>
        <w:tc>
          <w:tcPr>
            <w:tcW w:type="dxa" w:w="2493"/>
            <w:shd w:val="clear" w:color="auto" w:fill="D9D9D9"/>
          </w:tcPr>
          <w:p>
            <w:pPr>
              <w:spacing w:before="20" w:after="20"/>
            </w:pPr>
            <w:r>
              <w:rPr>
                <w:rFonts w:ascii="Aptos" w:hAnsi="Aptos"/>
                <w:b/>
                <w:i w:val="0"/>
                <w:sz w:val="16"/>
              </w:rPr>
              <w:t>ćw./lab./prac. internetowo</w:t>
            </w:r>
          </w:p>
        </w:tc>
      </w:tr>
      <w:tr>
        <w:tc>
          <w:tcPr>
            <w:tcW w:type="dxa" w:w="2493"/>
          </w:tcPr>
          <w:p>
            <w:pPr>
              <w:spacing w:before="20" w:after="20"/>
            </w:pPr>
            <w:r>
              <w:rPr>
                <w:rFonts w:ascii="Aptos" w:hAnsi="Aptos"/>
                <w:b w:val="0"/>
                <w:i w:val="0"/>
                <w:sz w:val="22"/>
              </w:rPr>
              <w:t>—</w:t>
            </w:r>
          </w:p>
        </w:tc>
        <w:tc>
          <w:tcPr>
            <w:tcW w:type="dxa" w:w="2493"/>
          </w:tcPr>
          <w:p>
            <w:pPr>
              <w:spacing w:before="20" w:after="20"/>
            </w:pPr>
            <w:r>
              <w:rPr>
                <w:rFonts w:ascii="Aptos" w:hAnsi="Aptos"/>
                <w:b w:val="0"/>
                <w:i w:val="0"/>
                <w:sz w:val="22"/>
              </w:rPr>
              <w:t>16</w:t>
            </w:r>
          </w:p>
        </w:tc>
        <w:tc>
          <w:tcPr>
            <w:tcW w:type="dxa" w:w="2493"/>
          </w:tcPr>
          <w:p>
            <w:pPr>
              <w:spacing w:before="20" w:after="20"/>
            </w:pPr>
            <w:r>
              <w:rPr>
                <w:rFonts w:ascii="Aptos" w:hAnsi="Aptos"/>
                <w:b w:val="0"/>
                <w:i w:val="0"/>
                <w:sz w:val="22"/>
              </w:rPr>
              <w:t>—</w:t>
            </w:r>
          </w:p>
        </w:tc>
        <w:tc>
          <w:tcPr>
            <w:tcW w:type="dxa" w:w="2493"/>
          </w:tcPr>
          <w:p>
            <w:pPr>
              <w:spacing w:before="20" w:after="20"/>
            </w:pPr>
            <w:r>
              <w:rPr>
                <w:rFonts w:ascii="Aptos" w:hAnsi="Aptos"/>
                <w:b w:val="0"/>
                <w:i w:val="0"/>
                <w:sz w:val="22"/>
              </w:rPr>
              <w:t>—</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3324"/>
            <w:shd w:val="clear" w:color="auto" w:fill="D9D9D9"/>
          </w:tcPr>
          <w:p>
            <w:pPr>
              <w:spacing w:before="20" w:after="20"/>
            </w:pPr>
            <w:r>
              <w:rPr>
                <w:rFonts w:ascii="Aptos" w:hAnsi="Aptos"/>
                <w:b/>
                <w:i w:val="0"/>
                <w:sz w:val="16"/>
              </w:rPr>
              <w:t>Rodzaj nakładu pracy:</w:t>
            </w:r>
          </w:p>
        </w:tc>
        <w:tc>
          <w:tcPr>
            <w:tcW w:type="dxa" w:w="3324"/>
            <w:shd w:val="clear" w:color="auto" w:fill="D9D9D9"/>
          </w:tcPr>
          <w:p>
            <w:pPr>
              <w:spacing w:before="20" w:after="20"/>
            </w:pPr>
            <w:r>
              <w:rPr>
                <w:rFonts w:ascii="Aptos" w:hAnsi="Aptos"/>
                <w:b/>
                <w:i w:val="0"/>
                <w:sz w:val="16"/>
              </w:rPr>
              <w:t>Liczba godzin</w:t>
            </w:r>
          </w:p>
        </w:tc>
        <w:tc>
          <w:tcPr>
            <w:tcW w:type="dxa" w:w="3324"/>
            <w:shd w:val="clear" w:color="auto" w:fill="D9D9D9"/>
          </w:tcPr>
          <w:p>
            <w:pPr>
              <w:spacing w:before="20" w:after="20"/>
            </w:pPr>
            <w:r>
              <w:rPr>
                <w:rFonts w:ascii="Aptos" w:hAnsi="Aptos"/>
                <w:b/>
                <w:i w:val="0"/>
                <w:sz w:val="16"/>
              </w:rPr>
              <w:t>ECTS</w:t>
            </w:r>
          </w:p>
        </w:tc>
      </w:tr>
      <w:tr>
        <w:tc>
          <w:tcPr>
            <w:tcW w:type="dxa" w:w="3324"/>
          </w:tcPr>
          <w:p>
            <w:pPr>
              <w:spacing w:before="20" w:after="20"/>
            </w:pPr>
            <w:r>
              <w:rPr>
                <w:rFonts w:ascii="Aptos" w:hAnsi="Aptos"/>
                <w:b w:val="0"/>
                <w:i w:val="0"/>
                <w:sz w:val="22"/>
              </w:rPr>
              <w:t>Zajęcia z bezpośrednim udziałem nauczyciela</w:t>
            </w:r>
          </w:p>
        </w:tc>
        <w:tc>
          <w:tcPr>
            <w:tcW w:type="dxa" w:w="3324"/>
          </w:tcPr>
          <w:p>
            <w:pPr>
              <w:spacing w:before="20" w:after="20"/>
            </w:pPr>
            <w:r>
              <w:rPr>
                <w:rFonts w:ascii="Aptos" w:hAnsi="Aptos"/>
                <w:b w:val="0"/>
                <w:i w:val="0"/>
                <w:sz w:val="22"/>
              </w:rPr>
              <w:t>16</w:t>
            </w:r>
          </w:p>
        </w:tc>
        <w:tc>
          <w:tcPr>
            <w:tcW w:type="dxa" w:w="3324"/>
          </w:tcPr>
          <w:p>
            <w:pPr>
              <w:spacing w:before="20" w:after="20"/>
            </w:pPr>
            <w:r>
              <w:rPr>
                <w:rFonts w:ascii="Aptos" w:hAnsi="Aptos"/>
                <w:b w:val="0"/>
                <w:i w:val="0"/>
                <w:sz w:val="22"/>
              </w:rPr>
              <w:t>0.6</w:t>
            </w:r>
          </w:p>
        </w:tc>
      </w:tr>
      <w:tr>
        <w:tc>
          <w:tcPr>
            <w:tcW w:type="dxa" w:w="3324"/>
          </w:tcPr>
          <w:p>
            <w:pPr>
              <w:spacing w:before="20" w:after="20"/>
            </w:pPr>
            <w:r>
              <w:rPr>
                <w:rFonts w:ascii="Aptos" w:hAnsi="Aptos"/>
                <w:b w:val="0"/>
                <w:i w:val="0"/>
                <w:sz w:val="22"/>
              </w:rPr>
              <w:t>Samodzielna praca studenta</w:t>
            </w:r>
          </w:p>
        </w:tc>
        <w:tc>
          <w:tcPr>
            <w:tcW w:type="dxa" w:w="3324"/>
          </w:tcPr>
          <w:p>
            <w:pPr>
              <w:spacing w:before="20" w:after="20"/>
            </w:pPr>
            <w:r>
              <w:rPr>
                <w:rFonts w:ascii="Aptos" w:hAnsi="Aptos"/>
                <w:b w:val="0"/>
                <w:i w:val="0"/>
                <w:sz w:val="22"/>
              </w:rPr>
              <w:t>59</w:t>
            </w:r>
          </w:p>
        </w:tc>
        <w:tc>
          <w:tcPr>
            <w:tcW w:type="dxa" w:w="3324"/>
          </w:tcPr>
          <w:p>
            <w:pPr>
              <w:spacing w:before="20" w:after="20"/>
            </w:pPr>
            <w:r>
              <w:rPr>
                <w:rFonts w:ascii="Aptos" w:hAnsi="Aptos"/>
                <w:b w:val="0"/>
                <w:i w:val="0"/>
                <w:sz w:val="22"/>
              </w:rPr>
              <w:t>2.4</w:t>
            </w:r>
          </w:p>
        </w:tc>
      </w:tr>
      <w:tr>
        <w:tc>
          <w:tcPr>
            <w:tcW w:type="dxa" w:w="3324"/>
          </w:tcPr>
          <w:p>
            <w:pPr>
              <w:spacing w:before="20" w:after="20"/>
            </w:pPr>
            <w:r>
              <w:rPr>
                <w:rFonts w:ascii="Aptos" w:hAnsi="Aptos"/>
                <w:b w:val="0"/>
                <w:i w:val="0"/>
                <w:sz w:val="22"/>
              </w:rPr>
              <w:t>Suma</w:t>
            </w:r>
          </w:p>
        </w:tc>
        <w:tc>
          <w:tcPr>
            <w:tcW w:type="dxa" w:w="3324"/>
          </w:tcPr>
          <w:p>
            <w:pPr>
              <w:spacing w:before="20" w:after="20"/>
            </w:pPr>
            <w:r>
              <w:rPr>
                <w:rFonts w:ascii="Aptos" w:hAnsi="Aptos"/>
                <w:b w:val="0"/>
                <w:i w:val="0"/>
                <w:sz w:val="22"/>
              </w:rPr>
              <w:t>75</w:t>
            </w:r>
          </w:p>
        </w:tc>
        <w:tc>
          <w:tcPr>
            <w:tcW w:type="dxa" w:w="3324"/>
          </w:tcPr>
          <w:p>
            <w:pPr>
              <w:spacing w:before="20" w:after="20"/>
            </w:pPr>
            <w:r>
              <w:rPr>
                <w:rFonts w:ascii="Aptos" w:hAnsi="Aptos"/>
                <w:b w:val="0"/>
                <w:i w:val="0"/>
                <w:sz w:val="22"/>
              </w:rPr>
              <w:t>3</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pPr>
              <w:spacing w:before="20" w:after="20"/>
            </w:pPr>
            <w:r>
              <w:rPr>
                <w:rFonts w:ascii="Aptos" w:hAnsi="Aptos"/>
                <w:b/>
                <w:sz w:val="22"/>
              </w:rPr>
              <w:t>Cwiczenia:</w:t>
            </w:r>
          </w:p>
          <w:p>
            <w:pPr>
              <w:spacing w:before="20" w:after="20"/>
            </w:pPr>
            <w:r>
              <w:rPr>
                <w:rFonts w:ascii="Aptos" w:hAnsi="Aptos"/>
                <w:b w:val="0"/>
                <w:sz w:val="22"/>
              </w:rPr>
              <w:t>• analiza tekstów z dyskusją, metoda projektów (projekt praktyczny), praca w grupach, dyskusja, rozwiązywanie zadań, burza mózgów, mind map praca grupowa nad projektem z wykorzystaniem nowoczesnych technik informatycznych, warsztaty</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sz w:val="22"/>
              </w:rPr>
              <w:t>1. Obecność na zajęciach – zgodnie z regulaminem 15% nieobecności nieustawiedliwionych, 15% nieobecności usprawiedliwionych</w:t>
            </w:r>
          </w:p>
          <w:p>
            <w:pPr>
              <w:spacing w:before="20" w:after="20"/>
            </w:pPr>
            <w:r>
              <w:rPr>
                <w:rFonts w:ascii="Aptos" w:hAnsi="Aptos"/>
                <w:sz w:val="22"/>
              </w:rPr>
              <w:t>2. Prace pisemne – min. jedna praca na semestr.</w:t>
            </w:r>
          </w:p>
          <w:p>
            <w:pPr>
              <w:spacing w:before="20" w:after="20"/>
            </w:pPr>
            <w:r>
              <w:rPr>
                <w:rFonts w:ascii="Aptos" w:hAnsi="Aptos"/>
                <w:sz w:val="22"/>
              </w:rPr>
              <w:t>3. Kolokwia/testy/kartkówki na podstawie opracowanego materiału – 1-2 na semestr (decyzja lektora)</w:t>
            </w:r>
          </w:p>
          <w:p>
            <w:pPr>
              <w:spacing w:before="20" w:after="20"/>
            </w:pPr>
            <w:r>
              <w:rPr>
                <w:rFonts w:ascii="Aptos" w:hAnsi="Aptos"/>
                <w:sz w:val="22"/>
              </w:rPr>
              <w:t>4. Wypowiedź ustna (o rodzaju decyduje lektor).</w:t>
            </w:r>
          </w:p>
          <w:p>
            <w:pPr>
              <w:spacing w:before="20" w:after="20"/>
            </w:pPr>
            <w:r>
              <w:rPr>
                <w:rFonts w:ascii="Aptos" w:hAnsi="Aptos"/>
                <w:sz w:val="22"/>
              </w:rPr>
              <w:t>5. Przygotowywanie prac domowych oraz aktywne uczestnictwo w zajęciach.</w:t>
            </w:r>
          </w:p>
          <w:p>
            <w:pPr>
              <w:spacing w:before="20" w:after="20"/>
            </w:pPr>
            <w:r>
              <w:rPr>
                <w:rFonts w:ascii="Aptos" w:hAnsi="Aptos"/>
                <w:sz w:val="22"/>
              </w:rPr>
              <w:t>6. Kryteria zaliczenia: uzyskanie przynajmniej 51% możliwych punktów za prace pisemne/testy/formę zaliczenia ustaloną przez lektora na podstawie poziomu grupy oraz pozytywna (min. 3.0) ocena łączna za pozostałe formy.</w:t>
            </w:r>
          </w:p>
        </w:tc>
        <w:tc>
          <w:tcPr>
            <w:tcW w:type="dxa" w:w="4986"/>
          </w:tcPr>
          <w:p>
            <w:pPr>
              <w:spacing w:before="20" w:after="20"/>
            </w:pPr>
            <w:r>
              <w:rPr>
                <w:rFonts w:ascii="Aptos" w:hAnsi="Aptos"/>
                <w:sz w:val="22"/>
              </w:rPr>
              <w:t>1. Obecność na zajęciach – zgodnie z regulaminem 15% nieobecności nieustawiedliwionych, 15% nieobecności usprawiedliwionych</w:t>
            </w:r>
          </w:p>
          <w:p>
            <w:pPr>
              <w:spacing w:before="20" w:after="20"/>
            </w:pPr>
            <w:r>
              <w:rPr>
                <w:rFonts w:ascii="Aptos" w:hAnsi="Aptos"/>
                <w:sz w:val="22"/>
              </w:rPr>
              <w:t>2. Prace pisemne – min. jedna praca na semestr.</w:t>
            </w:r>
          </w:p>
          <w:p>
            <w:pPr>
              <w:spacing w:before="20" w:after="20"/>
            </w:pPr>
            <w:r>
              <w:rPr>
                <w:rFonts w:ascii="Aptos" w:hAnsi="Aptos"/>
                <w:sz w:val="22"/>
              </w:rPr>
              <w:t>3. Kolokwia/testy/kartkówki na podstawie opracowanego materiału – 1-2 na semestr (decyzja lektora)</w:t>
            </w:r>
          </w:p>
          <w:p>
            <w:pPr>
              <w:spacing w:before="20" w:after="20"/>
            </w:pPr>
            <w:r>
              <w:rPr>
                <w:rFonts w:ascii="Aptos" w:hAnsi="Aptos"/>
                <w:sz w:val="22"/>
              </w:rPr>
              <w:t>4. Wypowiedź ustna (o rodzaju decyduje lektor).</w:t>
            </w:r>
          </w:p>
          <w:p>
            <w:pPr>
              <w:spacing w:before="20" w:after="20"/>
            </w:pPr>
            <w:r>
              <w:rPr>
                <w:rFonts w:ascii="Aptos" w:hAnsi="Aptos"/>
                <w:sz w:val="22"/>
              </w:rPr>
              <w:t>5. Przygotowywanie prac domowych oraz aktywne uczestnictwo w zajęciach.</w:t>
            </w:r>
          </w:p>
          <w:p>
            <w:pPr>
              <w:spacing w:before="20" w:after="20"/>
            </w:pPr>
            <w:r>
              <w:rPr>
                <w:rFonts w:ascii="Aptos" w:hAnsi="Aptos"/>
                <w:sz w:val="22"/>
              </w:rPr>
              <w:t>6. Kryteria zaliczenia: uzyskanie przynajmniej 51% możliwych punktów za prace pisemne/testy/formę zaliczenia ustaloną przez lektora na podstawie poziomu grupy oraz pozytywna (min. 3.0) ocena łączna za pozostałe formy.</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JAP3</w:t>
            </w:r>
          </w:p>
        </w:tc>
        <w:tc>
          <w:tcPr>
            <w:tcW w:type="dxa" w:w="4986"/>
          </w:tcPr>
          <w:p>
            <w:pPr>
              <w:spacing w:before="20" w:after="20"/>
            </w:pPr>
            <w:r>
              <w:rPr>
                <w:rFonts w:ascii="Aptos" w:hAnsi="Aptos"/>
                <w:b w:val="0"/>
                <w:i w:val="0"/>
                <w:sz w:val="22"/>
              </w:rPr>
              <w:t>Znajomość zagadnień z JAP3</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Nauczanie języka japońskiego od podstaw. Student  opanowuje język japoński w stopniu pozwalającym na komunikację językową w większości sytuacji dnia codziennego i częściowo zawodowego, wyrażanie myśli i opinii, rozumienie i tworzenie krótkich tekstów pisanych i wypowiedzi ustnych na różne tematy. Student poznaje elementy kultury, historii i realiów życia codziennego w Japonii i krajach obszaru języka japońskiego.</w:t>
            </w:r>
          </w:p>
          <w:p>
            <w:pPr>
              <w:spacing w:before="80" w:after="20"/>
            </w:pPr>
            <w:r>
              <w:rPr>
                <w:rFonts w:ascii="Aptos" w:hAnsi="Aptos"/>
                <w:b/>
                <w:sz w:val="22"/>
              </w:rPr>
              <w:t>Abstrakt po angielsku:</w:t>
            </w:r>
          </w:p>
          <w:p>
            <w:pPr>
              <w:spacing w:before="20" w:after="20"/>
            </w:pPr>
            <w:r>
              <w:rPr>
                <w:rFonts w:ascii="Aptos" w:hAnsi="Aptos"/>
                <w:i/>
                <w:sz w:val="22"/>
              </w:rPr>
              <w:t>Japanese language instruction from scratch. Students acquire Japanese proficiency enabling communication in most everyday situations and, to some extent, professional contexts, as well as expressing thoughts and opinions and understanding and producing short written texts and spoken statements on various topics. Students also learn about the culture, history, and everyday life of Japan and Japanese-speaking regions.</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15.  Treści programowe poszczególnych zajęć:</w:t>
            </w:r>
          </w:p>
        </w:tc>
      </w:tr>
      <w:tr>
        <w:tc>
          <w:tcPr>
            <w:tcW w:type="dxa" w:w="3324"/>
            <w:shd w:val="clear" w:color="auto" w:fill="D9D9D9"/>
          </w:tcPr>
          <w:p>
            <w:pPr>
              <w:spacing w:before="20" w:after="20"/>
            </w:pPr>
            <w:r>
              <w:rPr>
                <w:rFonts w:ascii="Aptos" w:hAnsi="Aptos"/>
                <w:b/>
                <w:i w:val="0"/>
                <w:sz w:val="16"/>
              </w:rPr>
              <w:t>Nr zajęć</w:t>
            </w:r>
          </w:p>
        </w:tc>
        <w:tc>
          <w:tcPr>
            <w:tcW w:type="dxa" w:w="3324"/>
            <w:shd w:val="clear" w:color="auto" w:fill="D9D9D9"/>
          </w:tcPr>
          <w:p>
            <w:pPr>
              <w:spacing w:before="20" w:after="20"/>
            </w:pPr>
            <w:r>
              <w:rPr>
                <w:rFonts w:ascii="Aptos" w:hAnsi="Aptos"/>
                <w:b/>
                <w:i w:val="0"/>
                <w:sz w:val="16"/>
              </w:rPr>
              <w:t>Wykład</w:t>
            </w:r>
          </w:p>
        </w:tc>
        <w:tc>
          <w:tcPr>
            <w:tcW w:type="dxa" w:w="3324"/>
            <w:shd w:val="clear" w:color="auto" w:fill="D9D9D9"/>
          </w:tcPr>
          <w:p>
            <w:pPr>
              <w:spacing w:before="20" w:after="20"/>
            </w:pPr>
            <w:r>
              <w:rPr>
                <w:rFonts w:ascii="Aptos" w:hAnsi="Aptos"/>
                <w:b/>
                <w:i w:val="0"/>
                <w:sz w:val="16"/>
              </w:rPr>
              <w:t>Ćwiczenia / Laboratorium / Pracownia</w:t>
            </w:r>
          </w:p>
        </w:tc>
      </w:tr>
      <w:tr>
        <w:tc>
          <w:tcPr>
            <w:tcW w:type="dxa" w:w="3324"/>
          </w:tcPr>
          <w:p>
            <w:pPr>
              <w:spacing w:before="20" w:after="20"/>
            </w:pPr>
            <w:r>
              <w:rPr>
                <w:rFonts w:ascii="Aptos" w:hAnsi="Aptos"/>
                <w:b w:val="0"/>
                <w:i w:val="0"/>
                <w:sz w:val="22"/>
              </w:rPr>
              <w:t>1.</w:t>
            </w:r>
          </w:p>
        </w:tc>
        <w:tc>
          <w:tcPr>
            <w:tcW w:type="dxa" w:w="3324"/>
          </w:tcPr>
          <w:p>
            <w:pPr>
              <w:spacing w:before="20" w:after="20"/>
            </w:pPr>
            <w:r>
              <w:rPr>
                <w:rFonts w:ascii="Aptos" w:hAnsi="Aptos"/>
                <w:b w:val="0"/>
                <w:i w:val="0"/>
                <w:sz w:val="22"/>
              </w:rPr>
              <w:t>Konstrukcja gramatyczna to omoimasu – wyrażanie opinii, ćwiczenia komunikacyjne.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2.</w:t>
            </w:r>
          </w:p>
        </w:tc>
        <w:tc>
          <w:tcPr>
            <w:tcW w:type="dxa" w:w="3324"/>
          </w:tcPr>
          <w:p>
            <w:pPr>
              <w:spacing w:before="20" w:after="20"/>
            </w:pPr>
            <w:r>
              <w:rPr>
                <w:rFonts w:ascii="Aptos" w:hAnsi="Aptos"/>
                <w:b w:val="0"/>
                <w:i w:val="0"/>
                <w:sz w:val="22"/>
              </w:rPr>
              <w:t>Konstrukcja gramatyczna to iimasu – przekazywanie cudzej wypowiedzi, dialogi 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3.</w:t>
            </w:r>
          </w:p>
        </w:tc>
        <w:tc>
          <w:tcPr>
            <w:tcW w:type="dxa" w:w="3324"/>
          </w:tcPr>
          <w:p>
            <w:pPr>
              <w:spacing w:before="20" w:after="20"/>
            </w:pPr>
            <w:r>
              <w:rPr>
                <w:rFonts w:ascii="Aptos" w:hAnsi="Aptos"/>
                <w:b w:val="0"/>
                <w:i w:val="0"/>
                <w:sz w:val="22"/>
              </w:rPr>
              <w:t>ćwiczenia. Nowe znaki kanji.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4.</w:t>
            </w:r>
          </w:p>
        </w:tc>
        <w:tc>
          <w:tcPr>
            <w:tcW w:type="dxa" w:w="3324"/>
          </w:tcPr>
          <w:p>
            <w:pPr>
              <w:spacing w:before="20" w:after="20"/>
            </w:pPr>
            <w:r>
              <w:rPr>
                <w:rFonts w:ascii="Aptos" w:hAnsi="Aptos"/>
                <w:b w:val="0"/>
                <w:i w:val="0"/>
                <w:sz w:val="22"/>
              </w:rPr>
              <w:t>Konstrukcja gramatyczna to iu tokoro desu – opisywanie miejsca i sytuacji.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5.</w:t>
            </w:r>
          </w:p>
        </w:tc>
        <w:tc>
          <w:tcPr>
            <w:tcW w:type="dxa" w:w="3324"/>
          </w:tcPr>
          <w:p>
            <w:pPr>
              <w:spacing w:before="20" w:after="20"/>
            </w:pPr>
            <w:r>
              <w:rPr>
                <w:rFonts w:ascii="Aptos" w:hAnsi="Aptos"/>
                <w:b w:val="0"/>
                <w:i w:val="0"/>
                <w:sz w:val="22"/>
              </w:rPr>
              <w:t>Konstrukcja gramatyczna to iwarete imasu – ćwiczenia, zadania ze słuchu 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6.</w:t>
            </w:r>
          </w:p>
        </w:tc>
        <w:tc>
          <w:tcPr>
            <w:tcW w:type="dxa" w:w="3324"/>
          </w:tcPr>
          <w:p>
            <w:pPr>
              <w:spacing w:before="20" w:after="20"/>
            </w:pPr>
            <w:r>
              <w:rPr>
                <w:rFonts w:ascii="Aptos" w:hAnsi="Aptos"/>
                <w:b w:val="0"/>
                <w:i w:val="0"/>
                <w:sz w:val="22"/>
              </w:rPr>
              <w:t>mówienie. Nowe znaki kanji.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7.</w:t>
            </w:r>
          </w:p>
        </w:tc>
        <w:tc>
          <w:tcPr>
            <w:tcW w:type="dxa" w:w="3324"/>
          </w:tcPr>
          <w:p>
            <w:pPr>
              <w:spacing w:before="20" w:after="20"/>
            </w:pPr>
            <w:r>
              <w:rPr>
                <w:rFonts w:ascii="Aptos" w:hAnsi="Aptos"/>
                <w:b w:val="0"/>
                <w:i w:val="0"/>
                <w:sz w:val="22"/>
              </w:rPr>
              <w:t>Konstrukcja gramatyczna you ni narimasu – opisywanie zmian i rezultatów.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8.</w:t>
            </w:r>
          </w:p>
        </w:tc>
        <w:tc>
          <w:tcPr>
            <w:tcW w:type="dxa" w:w="3324"/>
          </w:tcPr>
          <w:p>
            <w:pPr>
              <w:spacing w:before="20" w:after="20"/>
            </w:pPr>
            <w:r>
              <w:rPr>
                <w:rFonts w:ascii="Aptos" w:hAnsi="Aptos"/>
                <w:b w:val="0"/>
                <w:i w:val="0"/>
                <w:sz w:val="22"/>
              </w:rPr>
              <w:t>Konstrukcja gramatyczna you ni shimasu – wyrażanie decyzji i postanowień.</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9.</w:t>
            </w:r>
          </w:p>
        </w:tc>
        <w:tc>
          <w:tcPr>
            <w:tcW w:type="dxa" w:w="3324"/>
          </w:tcPr>
          <w:p>
            <w:pPr>
              <w:spacing w:before="20" w:after="20"/>
            </w:pPr>
            <w:r>
              <w:rPr>
                <w:rFonts w:ascii="Aptos" w:hAnsi="Aptos"/>
                <w:b w:val="0"/>
                <w:i w:val="0"/>
                <w:sz w:val="22"/>
              </w:rPr>
              <w:t>Konstrukcja gramatyczna you ni shite kudasai – instrukcje i polecenia.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10.</w:t>
            </w:r>
          </w:p>
        </w:tc>
        <w:tc>
          <w:tcPr>
            <w:tcW w:type="dxa" w:w="3324"/>
          </w:tcPr>
          <w:p>
            <w:pPr>
              <w:spacing w:before="20" w:after="20"/>
            </w:pPr>
            <w:r>
              <w:rPr>
                <w:rFonts w:ascii="Aptos" w:hAnsi="Aptos"/>
                <w:b w:val="0"/>
                <w:i w:val="0"/>
                <w:sz w:val="22"/>
              </w:rPr>
              <w:t>Konstrukcja gramatyczna you ni itte kudasai – przekazywanie próśb i poleceń.</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11.</w:t>
            </w:r>
          </w:p>
        </w:tc>
        <w:tc>
          <w:tcPr>
            <w:tcW w:type="dxa" w:w="3324"/>
          </w:tcPr>
          <w:p>
            <w:pPr>
              <w:spacing w:before="20" w:after="20"/>
            </w:pPr>
            <w:r>
              <w:rPr>
                <w:rFonts w:ascii="Aptos" w:hAnsi="Aptos"/>
                <w:b w:val="0"/>
                <w:i w:val="0"/>
                <w:sz w:val="22"/>
              </w:rPr>
              <w:t>Konstrukcja gramatyczna you ni narimashita – zmiany w czasie, ćwiczenia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12.</w:t>
            </w:r>
          </w:p>
        </w:tc>
        <w:tc>
          <w:tcPr>
            <w:tcW w:type="dxa" w:w="3324"/>
          </w:tcPr>
          <w:p>
            <w:pPr>
              <w:spacing w:before="20" w:after="20"/>
            </w:pPr>
            <w:r>
              <w:rPr>
                <w:rFonts w:ascii="Aptos" w:hAnsi="Aptos"/>
                <w:b w:val="0"/>
                <w:i w:val="0"/>
                <w:sz w:val="22"/>
              </w:rPr>
              <w:t>komunikacyjne. Nowe znaki kanji.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13.</w:t>
            </w:r>
          </w:p>
        </w:tc>
        <w:tc>
          <w:tcPr>
            <w:tcW w:type="dxa" w:w="3324"/>
          </w:tcPr>
          <w:p>
            <w:pPr>
              <w:spacing w:before="20" w:after="20"/>
            </w:pPr>
            <w:r>
              <w:rPr>
                <w:rFonts w:ascii="Aptos" w:hAnsi="Aptos"/>
                <w:b w:val="0"/>
                <w:i w:val="0"/>
                <w:sz w:val="22"/>
              </w:rPr>
              <w:t>Konstrukcja gramatyczna you ni shite imasu – opis zwyczajów i działań.</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14.</w:t>
            </w:r>
          </w:p>
        </w:tc>
        <w:tc>
          <w:tcPr>
            <w:tcW w:type="dxa" w:w="3324"/>
          </w:tcPr>
          <w:p>
            <w:pPr>
              <w:spacing w:before="20" w:after="20"/>
            </w:pPr>
            <w:r>
              <w:rPr>
                <w:rFonts w:ascii="Aptos" w:hAnsi="Aptos"/>
                <w:b w:val="0"/>
                <w:i w:val="0"/>
                <w:sz w:val="22"/>
              </w:rPr>
              <w:t>Konstrukcja gramatyczna you desu – wyrażanie przypuszczeń. Nowe znaki kanji.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15.</w:t>
            </w:r>
          </w:p>
        </w:tc>
        <w:tc>
          <w:tcPr>
            <w:tcW w:type="dxa" w:w="3324"/>
          </w:tcPr>
          <w:p>
            <w:pPr>
              <w:spacing w:before="20" w:after="20"/>
            </w:pPr>
            <w:r>
              <w:rPr>
                <w:rFonts w:ascii="Aptos" w:hAnsi="Aptos"/>
                <w:b w:val="0"/>
                <w:i w:val="0"/>
                <w:sz w:val="22"/>
              </w:rPr>
              <w:t>Konstrukcja gramatyczna mitai desu – podobieństwo i przypuszczenia w języku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16.</w:t>
            </w:r>
          </w:p>
        </w:tc>
        <w:tc>
          <w:tcPr>
            <w:tcW w:type="dxa" w:w="3324"/>
          </w:tcPr>
          <w:p>
            <w:pPr>
              <w:spacing w:before="20" w:after="20"/>
            </w:pPr>
            <w:r>
              <w:rPr>
                <w:rFonts w:ascii="Aptos" w:hAnsi="Aptos"/>
                <w:b w:val="0"/>
                <w:i w:val="0"/>
                <w:sz w:val="22"/>
              </w:rPr>
              <w:t>potocznym. Test 1 – gramatyka i słownictwo. Nowe znaki kanji.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17.</w:t>
            </w:r>
          </w:p>
        </w:tc>
        <w:tc>
          <w:tcPr>
            <w:tcW w:type="dxa" w:w="3324"/>
          </w:tcPr>
          <w:p>
            <w:pPr>
              <w:spacing w:before="20" w:after="20"/>
            </w:pPr>
            <w:r>
              <w:rPr>
                <w:rFonts w:ascii="Aptos" w:hAnsi="Aptos"/>
                <w:b w:val="0"/>
                <w:i w:val="0"/>
                <w:sz w:val="22"/>
              </w:rPr>
              <w:t>Konstrukcja gramatyczna rashii desu – informacje zasłyszane.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18.</w:t>
            </w:r>
          </w:p>
        </w:tc>
        <w:tc>
          <w:tcPr>
            <w:tcW w:type="dxa" w:w="3324"/>
          </w:tcPr>
          <w:p>
            <w:pPr>
              <w:spacing w:before="20" w:after="20"/>
            </w:pPr>
            <w:r>
              <w:rPr>
                <w:rFonts w:ascii="Aptos" w:hAnsi="Aptos"/>
                <w:b w:val="0"/>
                <w:i w:val="0"/>
                <w:sz w:val="22"/>
              </w:rPr>
              <w:t>Konstrukcja gramatyczna sou desu – wrażenie na podstawie obserwacji. Nowe znaki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19.</w:t>
            </w:r>
          </w:p>
        </w:tc>
        <w:tc>
          <w:tcPr>
            <w:tcW w:type="dxa" w:w="3324"/>
          </w:tcPr>
          <w:p>
            <w:pPr>
              <w:spacing w:before="20" w:after="20"/>
            </w:pPr>
            <w:r>
              <w:rPr>
                <w:rFonts w:ascii="Aptos" w:hAnsi="Aptos"/>
                <w:b w:val="0"/>
                <w:i w:val="0"/>
                <w:sz w:val="22"/>
              </w:rPr>
              <w:t>kanji.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20.</w:t>
            </w:r>
          </w:p>
        </w:tc>
        <w:tc>
          <w:tcPr>
            <w:tcW w:type="dxa" w:w="3324"/>
          </w:tcPr>
          <w:p>
            <w:pPr>
              <w:spacing w:before="20" w:after="20"/>
            </w:pPr>
            <w:r>
              <w:rPr>
                <w:rFonts w:ascii="Aptos" w:hAnsi="Aptos"/>
                <w:b w:val="0"/>
                <w:i w:val="0"/>
                <w:sz w:val="22"/>
              </w:rPr>
              <w:t>Konstrukcja gramatyczna sou desu ka – reakcje na informacje i ćwiczenia dialogowe.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21.</w:t>
            </w:r>
          </w:p>
        </w:tc>
        <w:tc>
          <w:tcPr>
            <w:tcW w:type="dxa" w:w="3324"/>
          </w:tcPr>
          <w:p>
            <w:pPr>
              <w:spacing w:before="20" w:after="20"/>
            </w:pPr>
            <w:r>
              <w:rPr>
                <w:rFonts w:ascii="Aptos" w:hAnsi="Aptos"/>
                <w:b w:val="0"/>
                <w:i w:val="0"/>
                <w:sz w:val="22"/>
              </w:rPr>
              <w:t>Konstrukcja gramatyczna sou ni shimasu – podejmowanie decyzji. Nowe znaki kanji.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22.</w:t>
            </w:r>
          </w:p>
        </w:tc>
        <w:tc>
          <w:tcPr>
            <w:tcW w:type="dxa" w:w="3324"/>
          </w:tcPr>
          <w:p>
            <w:pPr>
              <w:spacing w:before="20" w:after="20"/>
            </w:pPr>
            <w:r>
              <w:rPr>
                <w:rFonts w:ascii="Aptos" w:hAnsi="Aptos"/>
                <w:b w:val="0"/>
                <w:i w:val="0"/>
                <w:sz w:val="22"/>
              </w:rPr>
              <w:t>Wypracowanie: Praca moich marzeń – przygotowanie słownictwa i konstrukcji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23.</w:t>
            </w:r>
          </w:p>
        </w:tc>
        <w:tc>
          <w:tcPr>
            <w:tcW w:type="dxa" w:w="3324"/>
          </w:tcPr>
          <w:p>
            <w:pPr>
              <w:spacing w:before="20" w:after="20"/>
            </w:pPr>
            <w:r>
              <w:rPr>
                <w:rFonts w:ascii="Aptos" w:hAnsi="Aptos"/>
                <w:b w:val="0"/>
                <w:i w:val="0"/>
                <w:sz w:val="22"/>
              </w:rPr>
              <w:t>gramatycznych.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24.</w:t>
            </w:r>
          </w:p>
        </w:tc>
        <w:tc>
          <w:tcPr>
            <w:tcW w:type="dxa" w:w="3324"/>
          </w:tcPr>
          <w:p>
            <w:pPr>
              <w:spacing w:before="20" w:after="20"/>
            </w:pPr>
            <w:r>
              <w:rPr>
                <w:rFonts w:ascii="Aptos" w:hAnsi="Aptos"/>
                <w:b w:val="0"/>
                <w:i w:val="0"/>
                <w:sz w:val="22"/>
              </w:rPr>
              <w:t>KOLOKWIUM KOŃCOWE - gramatyka i słownictwo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25.</w:t>
            </w:r>
          </w:p>
        </w:tc>
        <w:tc>
          <w:tcPr>
            <w:tcW w:type="dxa" w:w="3324"/>
          </w:tcPr>
          <w:p>
            <w:pPr>
              <w:spacing w:before="20" w:after="20"/>
            </w:pPr>
            <w:r>
              <w:rPr>
                <w:rFonts w:ascii="Aptos" w:hAnsi="Aptos"/>
                <w:b w:val="0"/>
                <w:i w:val="0"/>
                <w:sz w:val="22"/>
              </w:rPr>
              <w:t>Powtórzenie znaków kanji. Próbny test N4.</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L. Czernichowska-Kramarz Japoński w obrazkach. Słownik, rozmówki, gramatyka wyd. Edgar</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Materiały własne – przygotowane przez lektorkę Lindę Czernichowską-Kramarz na podstawie własnych pomysłów oraz różnych książek</w:t>
            </w:r>
          </w:p>
          <w:p>
            <w:pPr>
              <w:spacing w:before="20" w:after="20"/>
            </w:pPr>
            <w:r>
              <w:rPr>
                <w:rFonts w:ascii="Aptos" w:hAnsi="Aptos"/>
                <w:sz w:val="22"/>
              </w:rPr>
              <w:t>2. Minna no nihongo I – główny podręcznik  wyd. 3anetwork Japonia</w:t>
            </w:r>
          </w:p>
          <w:p>
            <w:pPr>
              <w:spacing w:before="20" w:after="20"/>
            </w:pPr>
            <w:r>
              <w:rPr>
                <w:rFonts w:ascii="Aptos" w:hAnsi="Aptos"/>
                <w:sz w:val="22"/>
              </w:rPr>
              <w:t>3. Minna no nihongo I choukai– słuchanie  wyd. 3anetwork Japonia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pisać abstrakt, streszczenie, pisać wykres, diagram, list motywacyjny i CV wykorzystując słownictwo i struktury gramatyczne w odpowiednim kontekście.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konstruować wypowiedź ustną i pisemną poprawną pod względem logicznym i merytorycznym wdrażając słownictwo specjalistyczne i biznesowe</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permanentnego doskonalenia kompetencji językowych w celach zawodowych.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ciągłego samokształcenia własnych kompetencji językowych oraz dostrzega potrzebę podejmowania inicjatyw w dziedzinach biznesowych.</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