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wykorzystanie paradygmatu funkcyjnego i obiektowego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wykorzystanie paradygmatu funkcyjnego i obiektowego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języka Scala i platformy JVM oraz konfiguracja środowiska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Podstawowe typy danych, wyrażenia, instrukcje sterujące i niemutowalność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Funkcje, funkcje anonimowe i funkcje wyższego rzędu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Kolekcje w Scali i operacje funkcyjne (map, flatMap, filter)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Podstawy programowania obiektowego: klasy, obiekty, case class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Dziedziczenie, cechy (traits) i kompozycja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Dopasowanie wzorców (pattern matching)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Obsługa błędów: Option, Either, Try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Dobre praktyki i czytelność kodu w stylu funkcyjnym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programistyczny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