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obsługi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Modelowanie w trybie obiektowym.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w trybie edycji.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Modelowanie high-poly w trybie rzeźbienia.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Materiały.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Tekstury proceduralne.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Mapowanie tekstur i przestrzenie współrzędnych.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Tekstury bitmapowe.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Wypalanie tekstur.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Optymalizacja sceny 3D i rendering.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Komponowanie (compositing).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