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sz w:val="22"/>
              </w:rPr>
              <w:t>Laboratorium:</w:t>
            </w:r>
          </w:p>
          <w:p>
            <w:pPr>
              <w:spacing w:before="20" w:after="20"/>
            </w:pPr>
            <w:r>
              <w:rPr>
                <w:rFonts w:ascii="Aptos" w:hAnsi="Aptos"/>
                <w:b w:val="0"/>
                <w:sz w:val="22"/>
              </w:rPr>
              <w:t>• Projekt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Ideacja i dokumentacja wizualna. Techniki burzy mózgów, tworzenie "one-paged GDD" i moodboardów.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Analog Prototyping. Tworzenie gier planszowych i karcianych jako modeli systemów cyfrowych.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Greyboxing i Level Design. Prototypowanie przestrzeni – jak architektura poziomu wpływa na zachowanie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Interface &amp; Affordance. Jak projektować przedmioty i menu, by gracz intuicyjnie wiedział, co z nimi zrobić.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Psychologia playtestingu. Jak przygotować ankiety, jak obserwować gracza i jak nie sugerować odpowiedzi.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Iteracja na podstawie danych. Analiza sesji testowych i radykalne zmiany w projekcie ("Kill your darlings").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