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p>
            <w:pPr>
              <w:spacing w:before="20" w:after="20"/>
            </w:pPr>
            <w:r>
              <w:rPr>
                <w:rFonts w:ascii="Aptos" w:hAnsi="Aptos"/>
                <w:b/>
                <w:sz w:val="22"/>
              </w:rPr>
              <w:t>Laboratorium:</w:t>
            </w:r>
          </w:p>
          <w:p>
            <w:pPr>
              <w:spacing w:before="20" w:after="20"/>
            </w:pPr>
            <w:r>
              <w:rPr>
                <w:rFonts w:ascii="Aptos" w:hAnsi="Aptos"/>
                <w:b w:val="0"/>
                <w:sz w:val="22"/>
              </w:rPr>
              <w:t>• Ćwiczenia praktyczne: definiowanie infrastruktury jako kodu (Terraform), automatyzacja konfiguracji (Ansible), praca z lokalnym emulatorem AWS (LocalStack) oraz środowiskiem OpenStack; realizacja projektu końcowego polegającego na pełnym wdrożeniu infrastruktury aplikacji webowej za pomocą narzędzi IaC.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