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2</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60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JAP1</w:t>
            </w:r>
          </w:p>
        </w:tc>
        <w:tc>
          <w:tcPr>
            <w:tcW w:type="dxa" w:w="4986"/>
          </w:tcPr>
          <w:p>
            <w:pPr>
              <w:spacing w:before="20" w:after="20"/>
            </w:pPr>
            <w:r>
              <w:rPr>
                <w:rFonts w:ascii="Aptos" w:hAnsi="Aptos"/>
                <w:b w:val="0"/>
                <w:i w:val="0"/>
                <w:sz w:val="22"/>
              </w:rPr>
              <w:t>Zaliczenie JAP1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1.Nauka znaków katakany a,i,u,e,o , ka,ki,ku,ke,ko,ga,gi,gu,ge,go, sa,shi,su,se,so,za,ji,zu,ze,zo wybrane nowe kanji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2.  Nauka znaków katakany ta,chi,tsu,te,to,da,di,du,de,do ,na,ni,nu,ne,no / wybrane nowe kanji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3. Nauka znaków katakany ha,hi,fu,he,ho,ba,bi,bu,be,bo,pa,pi,pu,pe,po / wybrane nowe kanji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4. Nauka znaków katakany ma,mi,mu,me,mo, ya,yu,yo, ra,ri,ru,re,ro,wa,wo,n   / TEST (zdania z życia codziennego).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5.  Dodatki do znaków katakany  (VA) (VI)  (VE)  (VO) WI WE  WO FA FI FE FO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6.  Forma -te (omówienie wszystkich grup) / czas teraźniejszy – przyszły i przeszły (+zaprzeczenie) – powtórzenie /budowanie zdań.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7.  Dodatki do znaków katakany  TSA TSI TSE TSO SHE JE CHE TWU TI DWU DI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8.  Forma -tekudasai, Forma -tekara, Forma te (do łączenia czasowników), praca pisemna (wypracowanie) – opisać osobę z obrazka.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9.  Forma -tekudasai, Forma -tekara, Forma te (do łączenia czasowników) – budowanie zdań.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10.  Choroby i objawy i związane z tym znaki kanji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11.  Lekcja pisania listu formalnego – praca pisemna.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12.  Partykuła kara/made, powtórzenie godzin, budowanie zdań opisujących od kiedy do kiedy dany obiekt jest otwarty.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13.  Kolory i rodzina i wszystkie kanji z tym tematem związane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14.  Rodzina – opisanie swojej rodziny / Słuchanie (słownictwo związane z rodziną).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15.  Opisanie domu towarowego i produktów znajdujących się w tym obiekcie, nauka liczenia pięter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16. Wybrane nowe znaki kanji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17. Słownictwo związane z ubiorem itp. i czasowniki zakładania.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18. Słuchanie: jeden dzień bohatera, zakupy, hobby.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19.  Słuchanie: porównania i opinia.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20.  Nowe znaki knaji i budowanie z nimi zdań.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21.</w:t>
            </w:r>
          </w:p>
        </w:tc>
        <w:tc>
          <w:tcPr>
            <w:tcW w:type="dxa" w:w="3324"/>
          </w:tcPr>
          <w:p>
            <w:pPr>
              <w:spacing w:before="20" w:after="20"/>
            </w:pPr>
            <w:r>
              <w:rPr>
                <w:rFonts w:ascii="Aptos" w:hAnsi="Aptos"/>
                <w:b w:val="0"/>
                <w:i w:val="0"/>
                <w:sz w:val="22"/>
              </w:rPr>
              <w:t>21. Liczebniki i budowanie z nimi zdań + nowe znaki kanji.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22.</w:t>
            </w:r>
          </w:p>
        </w:tc>
        <w:tc>
          <w:tcPr>
            <w:tcW w:type="dxa" w:w="3324"/>
          </w:tcPr>
          <w:p>
            <w:pPr>
              <w:spacing w:before="20" w:after="20"/>
            </w:pPr>
            <w:r>
              <w:rPr>
                <w:rFonts w:ascii="Aptos" w:hAnsi="Aptos"/>
                <w:b w:val="0"/>
                <w:i w:val="0"/>
                <w:sz w:val="22"/>
              </w:rPr>
              <w:t>22. Konstrukcja yori nohōga,motto ichiban ,nowe znaki kanji, ciekawostka: różne święta i dni wolne.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23.</w:t>
            </w:r>
          </w:p>
        </w:tc>
        <w:tc>
          <w:tcPr>
            <w:tcW w:type="dxa" w:w="3324"/>
          </w:tcPr>
          <w:p>
            <w:pPr>
              <w:spacing w:before="20" w:after="20"/>
            </w:pPr>
            <w:r>
              <w:rPr>
                <w:rFonts w:ascii="Aptos" w:hAnsi="Aptos"/>
                <w:b w:val="0"/>
                <w:i w:val="0"/>
                <w:sz w:val="22"/>
              </w:rPr>
              <w:t>23.To co potrafimy i to czego nie potrafimy , czytanka o mieście w Brazylii , zadanie ze słuchu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24.</w:t>
            </w:r>
          </w:p>
        </w:tc>
        <w:tc>
          <w:tcPr>
            <w:tcW w:type="dxa" w:w="3324"/>
          </w:tcPr>
          <w:p>
            <w:pPr>
              <w:spacing w:before="20" w:after="20"/>
            </w:pPr>
            <w:r>
              <w:rPr>
                <w:rFonts w:ascii="Aptos" w:hAnsi="Aptos"/>
                <w:b w:val="0"/>
                <w:i w:val="0"/>
                <w:sz w:val="22"/>
              </w:rPr>
              <w:t>24.  Rozmowa na poczcie – jak wysłać list i przesyłkę i związane z tym słownictwo( paczka, polecony, przesyłka morska itp.), nowy czasownik: kakaru.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25.</w:t>
            </w:r>
          </w:p>
        </w:tc>
        <w:tc>
          <w:tcPr>
            <w:tcW w:type="dxa" w:w="3324"/>
          </w:tcPr>
          <w:p>
            <w:pPr>
              <w:spacing w:before="20" w:after="20"/>
            </w:pPr>
            <w:r>
              <w:rPr>
                <w:rFonts w:ascii="Aptos" w:hAnsi="Aptos"/>
                <w:b w:val="0"/>
                <w:i w:val="0"/>
                <w:sz w:val="22"/>
              </w:rPr>
              <w:t>25.  Wszystkie zastosowania partykuły de i budowanie zdań, ciekawostka o ogrodach japońskich.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26.</w:t>
            </w:r>
          </w:p>
        </w:tc>
        <w:tc>
          <w:tcPr>
            <w:tcW w:type="dxa" w:w="3324"/>
          </w:tcPr>
          <w:p>
            <w:pPr>
              <w:spacing w:before="20" w:after="20"/>
            </w:pPr>
            <w:r>
              <w:rPr>
                <w:rFonts w:ascii="Aptos" w:hAnsi="Aptos"/>
                <w:b w:val="0"/>
                <w:i w:val="0"/>
                <w:sz w:val="22"/>
              </w:rPr>
              <w:t>26.  Czytanka o ninja i związane z tym słownictwo, nowe kanji.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27.</w:t>
            </w:r>
          </w:p>
        </w:tc>
        <w:tc>
          <w:tcPr>
            <w:tcW w:type="dxa" w:w="3324"/>
          </w:tcPr>
          <w:p>
            <w:pPr>
              <w:spacing w:before="20" w:after="20"/>
            </w:pPr>
            <w:r>
              <w:rPr>
                <w:rFonts w:ascii="Aptos" w:hAnsi="Aptos"/>
                <w:b w:val="0"/>
                <w:i w:val="0"/>
                <w:sz w:val="22"/>
              </w:rPr>
              <w:t>27.  Omawianie różnych dialogów, zalety i wady  (Fast food), nowe słowa, interpretacja zdjęcia po japońsku.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28.</w:t>
            </w:r>
          </w:p>
        </w:tc>
        <w:tc>
          <w:tcPr>
            <w:tcW w:type="dxa" w:w="3324"/>
          </w:tcPr>
          <w:p>
            <w:pPr>
              <w:spacing w:before="20" w:after="20"/>
            </w:pPr>
            <w:r>
              <w:rPr>
                <w:rFonts w:ascii="Aptos" w:hAnsi="Aptos"/>
                <w:b w:val="0"/>
                <w:i w:val="0"/>
                <w:sz w:val="22"/>
              </w:rPr>
              <w:t>28.  Rozmowa na temat zainteresowań i wspomnień, nowe kanji, czytanka o miastach w Japonii.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29.</w:t>
            </w:r>
          </w:p>
        </w:tc>
        <w:tc>
          <w:tcPr>
            <w:tcW w:type="dxa" w:w="3324"/>
          </w:tcPr>
          <w:p>
            <w:pPr>
              <w:spacing w:before="20" w:after="20"/>
            </w:pPr>
            <w:r>
              <w:rPr>
                <w:rFonts w:ascii="Aptos" w:hAnsi="Aptos"/>
                <w:b w:val="0"/>
                <w:i w:val="0"/>
                <w:sz w:val="22"/>
              </w:rPr>
              <w:t>29.  Froma nai i budowanie z zdań, powtórzenie materiału z całego semestru.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30.  Kolokwium zaliczeniowe.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Minna no nihongo I – główny podręcznik  wyd. 3anetwork Japonia</w:t>
            </w:r>
          </w:p>
          <w:p>
            <w:pPr>
              <w:spacing w:before="20" w:after="20"/>
            </w:pPr>
            <w:r>
              <w:rPr>
                <w:rFonts w:ascii="Aptos" w:hAnsi="Aptos"/>
                <w:sz w:val="22"/>
              </w:rPr>
              <w:t>2. Minna no nihongo 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japońskim z wykorzystaniem opracowań dydaktycznych zgodnie z zasadami przewidzianymi dla danej formy.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japońskim w mowie i piśmie na poziomie JLPT N4.</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