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6)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5 (LEK2)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B2+/C1.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C1. Student osiąga biegłość zawodową i akademicką w języku angielskim pozwalającą na samodzielne prowadzenie projektów, pisanie prac dyplomowych i uczestnictwo w konferencjach naukowych.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poprzednich semestrów.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pracy inżynierskiej po angielsku – struktura rozdziałów, styl akademicki, cytowanie.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branżowe z zakresu specjalizacji studenta – analiza tekstów naukowych.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wyników badań – konferencja naukowa: abstrakt, poster, prezentacja.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Zaawansowana komunikacja biznesowa: negocjacje, zarządzanie konfliktem, feedback.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case studies z obszaru IT w języku angielskim – dyskusja i wnioski.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listu motywacyjnego i CV na rynek zagraniczny.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w języku angielskim – zaawansowane symulacje.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Anglojęzyczne standardy i regulacje IT: GDPR, ISO, IEEE – analiza dokumentów.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dyplomowego w języku angielskim – ćwiczenia.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C1/C2 – ćwiczenia z testów CAE/CPE.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esej akademicki.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Online, Academic Word List.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swobodnie konstruować wypowiedzi pisemne i ustne w języku angielskim na poziomie C1, w tym pisać pracę dyplomową.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na poziomie C1 w środowisku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uczestnictwa w międzynarodowych projektach i konferencjach naukowych.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