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c>
          <w:tcPr>
            <w:tcW w:type="dxa" w:w="4986"/>
          </w:tcPr>
          <w:p>
            <w:pPr>
              <w:spacing w:before="20" w:after="20"/>
            </w:pPr>
            <w:r>
              <w:rPr>
                <w:rFonts w:ascii="Aptos" w:hAnsi="Aptos"/>
                <w:sz w:val="22"/>
              </w:rPr>
              <w:t>1. Zadania z zajęć - 1/3 oceny</w:t>
            </w:r>
          </w:p>
          <w:p>
            <w:pPr>
              <w:spacing w:before="20" w:after="20"/>
            </w:pPr>
            <w:r>
              <w:rPr>
                <w:rFonts w:ascii="Aptos" w:hAnsi="Aptos"/>
                <w:sz w:val="22"/>
              </w:rPr>
              <w:t>2. 2 Kolokwia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architektury komputera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Wstęp do programowania w x86 assembly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Pamięć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Skoki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Arytmetyka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ONP + Stos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Pętle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Projekt / funkcje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Projekt / funkcje, include, asm zaawansowany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Bootsector OS, BIOS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32-bit assembly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Bootsector, ładowanie jądra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Proste jądro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Proste mechanizmy OS, rozwój jądra OS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