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3D dla gier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prezentacja na żywo</w:t>
            </w:r>
          </w:p>
          <w:p>
            <w:pPr>
              <w:spacing w:before="20" w:after="20"/>
            </w:pPr>
            <w:r>
              <w:rPr>
                <w:rFonts w:ascii="Aptos" w:hAnsi="Aptos"/>
                <w:sz w:val="22"/>
              </w:rPr>
              <w:t>2. wykład z elementami dyskusji</w:t>
            </w:r>
          </w:p>
          <w:p>
            <w:pPr>
              <w:spacing w:before="20" w:after="20"/>
            </w:pPr>
            <w:r>
              <w:rPr>
                <w:rFonts w:ascii="Aptos" w:hAnsi="Aptos"/>
                <w:sz w:val="22"/>
              </w:rPr>
              <w:t>3. studium przypadku</w:t>
            </w:r>
          </w:p>
          <w:p>
            <w:pPr>
              <w:spacing w:before="20" w:after="20"/>
            </w:pPr>
            <w:r>
              <w:rPr>
                <w:rFonts w:ascii="Aptos" w:hAnsi="Aptos"/>
                <w:sz w:val="22"/>
              </w:rPr>
              <w:t>4. najlepsze praktyki</w:t>
            </w:r>
          </w:p>
          <w:p>
            <w:pPr>
              <w:spacing w:before="20" w:after="20"/>
            </w:pPr>
            <w:r>
              <w:rPr>
                <w:rFonts w:ascii="Aptos" w:hAnsi="Aptos"/>
                <w:sz w:val="22"/>
              </w:rPr>
              <w:t>5. Ćwiczenia / Laboratorium/Lektorat:</w:t>
            </w:r>
          </w:p>
          <w:p>
            <w:pPr>
              <w:spacing w:before="20" w:after="20"/>
            </w:pPr>
            <w:r>
              <w:rPr>
                <w:rFonts w:ascii="Aptos" w:hAnsi="Aptos"/>
                <w:sz w:val="22"/>
              </w:rPr>
              <w:t>6. praca samodzielna ucznia nad zadaniami i mini-projektami</w:t>
            </w:r>
          </w:p>
          <w:p>
            <w:pPr>
              <w:spacing w:before="20" w:after="20"/>
            </w:pPr>
            <w:r>
              <w:rPr>
                <w:rFonts w:ascii="Aptos" w:hAnsi="Aptos"/>
                <w:sz w:val="22"/>
              </w:rPr>
              <w:t>7. projekt semestralny</w:t>
            </w:r>
          </w:p>
          <w:p>
            <w:pPr>
              <w:spacing w:before="20" w:after="20"/>
            </w:pPr>
            <w:r>
              <w:rPr>
                <w:rFonts w:ascii="Aptos" w:hAnsi="Aptos"/>
                <w:sz w:val="22"/>
              </w:rPr>
              <w:t>8. Kryteria oceny</w:t>
            </w:r>
          </w:p>
          <w:p>
            <w:pPr>
              <w:spacing w:before="20" w:after="20"/>
            </w:pPr>
            <w:r>
              <w:rPr>
                <w:rFonts w:ascii="Aptos" w:hAnsi="Aptos"/>
                <w:sz w:val="22"/>
              </w:rPr>
              <w:t>9.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w:t>
            </w:r>
          </w:p>
          <w:p>
            <w:pPr>
              <w:spacing w:before="20" w:after="20"/>
            </w:pPr>
            <w:r>
              <w:rPr>
                <w:rFonts w:ascii="Aptos" w:hAnsi="Aptos"/>
                <w:sz w:val="22"/>
              </w:rPr>
              <w:t>10. Student zobowiązany jest przedstawić większy projekt własny w którym wykorzystuje poznane techniki modelowania. Projekty są negocjowane indywidualnie już podczas semestru i można je przygotowywać w trakcie jego trwania.</w:t>
            </w:r>
          </w:p>
        </w:tc>
        <w:tc>
          <w:tcPr>
            <w:tcW w:type="dxa" w:w="4986"/>
          </w:tcPr>
          <w:p>
            <w:pPr>
              <w:spacing w:before="20" w:after="20"/>
            </w:pPr>
            <w:r>
              <w:rPr>
                <w:rFonts w:ascii="Aptos" w:hAnsi="Aptos"/>
                <w:sz w:val="22"/>
              </w:rPr>
              <w:t>1. prezentacja na żywo</w:t>
            </w:r>
          </w:p>
          <w:p>
            <w:pPr>
              <w:spacing w:before="20" w:after="20"/>
            </w:pPr>
            <w:r>
              <w:rPr>
                <w:rFonts w:ascii="Aptos" w:hAnsi="Aptos"/>
                <w:sz w:val="22"/>
              </w:rPr>
              <w:t>2. wykład z elementami dyskusji</w:t>
            </w:r>
          </w:p>
          <w:p>
            <w:pPr>
              <w:spacing w:before="20" w:after="20"/>
            </w:pPr>
            <w:r>
              <w:rPr>
                <w:rFonts w:ascii="Aptos" w:hAnsi="Aptos"/>
                <w:sz w:val="22"/>
              </w:rPr>
              <w:t>3. studium przypadku</w:t>
            </w:r>
          </w:p>
          <w:p>
            <w:pPr>
              <w:spacing w:before="20" w:after="20"/>
            </w:pPr>
            <w:r>
              <w:rPr>
                <w:rFonts w:ascii="Aptos" w:hAnsi="Aptos"/>
                <w:sz w:val="22"/>
              </w:rPr>
              <w:t>4. najlepsze praktyki</w:t>
            </w:r>
          </w:p>
          <w:p>
            <w:pPr>
              <w:spacing w:before="20" w:after="20"/>
            </w:pPr>
            <w:r>
              <w:rPr>
                <w:rFonts w:ascii="Aptos" w:hAnsi="Aptos"/>
                <w:sz w:val="22"/>
              </w:rPr>
              <w:t>5. Ćwiczenia / Laboratorium/Lektorat:</w:t>
            </w:r>
          </w:p>
          <w:p>
            <w:pPr>
              <w:spacing w:before="20" w:after="20"/>
            </w:pPr>
            <w:r>
              <w:rPr>
                <w:rFonts w:ascii="Aptos" w:hAnsi="Aptos"/>
                <w:sz w:val="22"/>
              </w:rPr>
              <w:t>6. praca samodzielna ucznia nad zadaniami i mini-projektami</w:t>
            </w:r>
          </w:p>
          <w:p>
            <w:pPr>
              <w:spacing w:before="20" w:after="20"/>
            </w:pPr>
            <w:r>
              <w:rPr>
                <w:rFonts w:ascii="Aptos" w:hAnsi="Aptos"/>
                <w:sz w:val="22"/>
              </w:rPr>
              <w:t>7. projekt semestralny</w:t>
            </w:r>
          </w:p>
          <w:p>
            <w:pPr>
              <w:spacing w:before="20" w:after="20"/>
            </w:pPr>
            <w:r>
              <w:rPr>
                <w:rFonts w:ascii="Aptos" w:hAnsi="Aptos"/>
                <w:sz w:val="22"/>
              </w:rPr>
              <w:t>8. Kryteria oceny</w:t>
            </w:r>
          </w:p>
          <w:p>
            <w:pPr>
              <w:spacing w:before="20" w:after="20"/>
            </w:pPr>
            <w:r>
              <w:rPr>
                <w:rFonts w:ascii="Aptos" w:hAnsi="Aptos"/>
                <w:sz w:val="22"/>
              </w:rPr>
              <w:t>9. Student musi wykonać zgodnie z regułami sztuki kluczowe ćwiczenia prezentowane w trakcie semestru. Sprawdzana jest zgodność z zasadami ale dopuszczane są inwencja twórcza oraz kreatywność (dziedzina jest twórcza). Tworzone jest w ciągu semestru portfolio rozwojowe pokazujące eksperymenty własne i ścieżkę osiągnięć, które są następnie na końcu zajęć oceniane.</w:t>
            </w:r>
          </w:p>
          <w:p>
            <w:pPr>
              <w:spacing w:before="20" w:after="20"/>
            </w:pPr>
            <w:r>
              <w:rPr>
                <w:rFonts w:ascii="Aptos" w:hAnsi="Aptos"/>
                <w:sz w:val="22"/>
              </w:rPr>
              <w:t>10. Student zobowiązany jest przedstawić większy projekt własny w którym wykorzystuje poznane techniki modelowania. Projekty są negocjowane indywidualnie już podczas semestru i można je przygotowywać w trakcie jego trwania.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Niezbędna jest ogólna znajomość obsługi komputera.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pracy w branży Gamedev w charakterze twórców treści cyfrowych. Nacisk kładziony jest na modelowanie 3D oraz związane z nim tematy takie jak teksturowanie, tworzenie materiałów, wypalanie, techniki optymalizacyjne i strategie związane z tworzeniem gier.</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work in the game development industry as creators of digital content. Emphasis is placed on 3D modeling and related topics such as texturing, material creation, baking, optimization techniques, and strategies related to game development.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Wprowadzenie do podstaw obsługi Blendera.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Modelowanie w trybie obiektowym.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Modyfikatory.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Modelowanie w trybie edycji.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Modelowanie high-poly w trybie rzeźbienia.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Oświetlenie.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Materiały.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Tekstury proceduralne.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 Mapowanie tekstur i przestrzenie współrzędnych.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 Tekstury bitmapowe.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 Wypalanie tekstur.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 Optymalizacja sceny 3D i rendering.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 Komponowanie (compositing).</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Blender 3D For Beginners: The Complete Guide: The Complete Beginner’s Guide to Getting Started with Navigating, Modeling, Animating, Texturing, Lighting, Compositing and Rendering within Blender, ISBN-13: 978-1523238811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https://docs.blender.org/manual/en/latest/index.html</w:t>
            </w:r>
          </w:p>
          <w:p>
            <w:pPr>
              <w:spacing w:before="20" w:after="20"/>
            </w:pPr>
            <w:r>
              <w:rPr>
                <w:rFonts w:ascii="Aptos" w:hAnsi="Aptos"/>
                <w:sz w:val="22"/>
              </w:rPr>
              <w:t>• https://mikepan.com/GameEngineBook/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wymodelować obiekty w technice low-poly oraz high-poly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oteksturować obiekt metodami tekstur proceduralnych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rozwinąć siatkę obiektu we współrzędnych UV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wypalić tekstury proceduralne do tekstur bitmapowych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