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zagadnień omawianych na wykładach. Studenci otrzymują zadania programistyczne do wykonania podczas zajęć (do zdobycia maks. 40 punktów, z gradacją 0.5 p.) oraz zadanie indywidualne (do zdobycia maks. 10 punktów). Przedmiot zalicza otrzymanie w sumie co najmniej 25 punktów.</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zagadnień omawianych na wykładach. Studenci otrzymują zadania programistyczne do wykonania podczas zajęć (do zdobycia maks. 40 punktów, z gradacją 0.5 p.) oraz zadanie indywidualne (do zdobycia maks. 10 punktów). Przedmiot zalicza otrzymanie w sumie co najmniej 25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wybranymi zagadnieniami uczenia maszynowego (w tym elementami uczenia głębokiego), głównie z wykorzystaniem sieci neuronowych (w tym sieci splotowych), a także z metodami programowania wybranych metod oraz praktycznym wykorzystaniem gotowych narzędzi i bibliotek.</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selected issues in machine learning (including elements of deep learning), mainly using neural networks (including convolutional neural networks), as well as methods for programming selected techniques and the practical use of ready-made tools and libraries.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Sieci autoasocjacyjne. Transfer learning. Walidacja krzyżowa. Elementy wyjaśnialnej sztucznej inteligencji.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Sieci rekurencyjne. Budowa, metody uczenia, zastosowania, ograniczenia. Pamięci asocjacyjne. Komórki LSTM i GRU.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Strategie gier dwuosobowych. Algorytm MINIMAX.  Funkcja heurystyczna. Przycinanie alfa-beta. Idea self-play.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Automaty komórkowe ze szczególnym uwzględnieniem ich zastosowania w uczeniu maszynowym.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Elementy języka Prolog. Zapis predykatów. Wnioskowanie wstecz i w przód.</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zastosowania wybranych algorytmów uczenia maszynowego (sieci neuronowe, SVM, drzewa decyzyjne, algorytmy ewolucyjne) w rozwiązywaniu rzeczywistych problemów inżynierskich.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znaczenie jakości i przygotowania danych w procesie uczenia maszynowego: czyszczenie danych, inżynieria cech, podziały train/val/test i techniki regularyzacji zapobiegające przeuczeniu.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przechowywania i strumieniowania danych dla uczenia maszynowego: bazy wektorowe, kolejki (Kafka), formaty danych (Parquet, HDF5). [K_W12]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wybrać odpowiedni algorytm ML do rozwiązania problemu biznesowego, poprawnie przygotować dane (pipeline), wytrenować model, dostroić hiperparametry i przeprowadzić analizę wyników. [K_U29]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i porównywać algorytmy uczenia maszynowego w Pythonie (scikit-learn, PyTorch/Keras) oraz oceniać ich skuteczność na zestawach danych rzeczywistych. [K_U29]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podnoszenia kompetencji zawodowych w obszarze ML/AI, śledzenia literatury naukowej i wdrażania nowych metod.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uczenia maszynowego na rzecz rozwiązywania problemów społecznych i naukowych z uwzględnieniem etycznych aspektów AI.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