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gry lub aplikacji interaktywnej realizowany indywidualnie lub w parach – 100%</w:t>
            </w:r>
          </w:p>
          <w:p>
            <w:pPr>
              <w:spacing w:before="20" w:after="20"/>
            </w:pPr>
            <w:r>
              <w:rPr>
                <w:rFonts w:ascii="Aptos" w:hAnsi="Aptos"/>
                <w:sz w:val="22"/>
              </w:rPr>
              <w:t>2. Ocena projektu obejmuje: poprawność działania aplikacji, strukturę scen i obiektów, logikę gry, jakość kodu w C#, wykorzystanie zasobów silnika oraz dokumentację</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Unity i silników gier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Unity Editor i struktura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Sceny, obiekty i komponenty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Skrypty w C# i cykl życia obiektów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Transformacje, kamery i oświetlenie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Podstawy fizyki i kolizji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Sterowanie i interakcja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Zarządzanie zasobami i prefabrykaty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