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Język niemiecki</w:t>
            </w:r>
          </w:p>
        </w:tc>
        <w:tc>
          <w:tcPr>
            <w:tcW w:type="dxa" w:w="4986"/>
            <w:gridSpan w:val="2"/>
          </w:tcPr>
          <w:p>
            <w:pPr>
              <w:spacing w:before="20" w:after="20"/>
            </w:pPr>
            <w:r>
              <w:rPr>
                <w:rFonts w:ascii="Aptos" w:hAnsi="Aptos"/>
                <w:b w:val="0"/>
                <w:i w:val="0"/>
                <w:sz w:val="22"/>
              </w:rPr>
              <w:t>06.03.2026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NIM3</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lektorat</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 xml:space="preserve">Studium Języków Obcych </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9.  Formy zajęć, sposób ich realizacji i przypisana im liczba godzin: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2493"/>
            <w:shd w:val="clear" w:color="auto" w:fill="D9D9D9"/>
          </w:tcPr>
          <w:p>
            <w:pPr>
              <w:spacing w:before="20" w:after="20"/>
            </w:pPr>
            <w:r>
              <w:rPr>
                <w:rFonts w:ascii="Aptos" w:hAnsi="Aptos"/>
                <w:b/>
                <w:i w:val="0"/>
                <w:sz w:val="16"/>
              </w:rPr>
              <w:t>wykład</w:t>
            </w:r>
          </w:p>
        </w:tc>
        <w:tc>
          <w:tcPr>
            <w:tcW w:type="dxa" w:w="2493"/>
            <w:shd w:val="clear" w:color="auto" w:fill="D9D9D9"/>
          </w:tcPr>
          <w:p>
            <w:pPr>
              <w:spacing w:before="20" w:after="20"/>
            </w:pPr>
            <w:r>
              <w:rPr>
                <w:rFonts w:ascii="Aptos" w:hAnsi="Aptos"/>
                <w:b/>
                <w:i w:val="0"/>
                <w:sz w:val="16"/>
              </w:rPr>
              <w:t>ćwiczenia/laboratorium/pracownia</w:t>
            </w:r>
          </w:p>
        </w:tc>
        <w:tc>
          <w:tcPr>
            <w:tcW w:type="dxa" w:w="2493"/>
            <w:shd w:val="clear" w:color="auto" w:fill="D9D9D9"/>
          </w:tcPr>
          <w:p>
            <w:pPr>
              <w:spacing w:before="20" w:after="20"/>
            </w:pPr>
            <w:r>
              <w:rPr>
                <w:rFonts w:ascii="Aptos" w:hAnsi="Aptos"/>
                <w:b/>
                <w:i w:val="0"/>
                <w:sz w:val="16"/>
              </w:rPr>
              <w:t>wykład internetowo</w:t>
            </w:r>
          </w:p>
        </w:tc>
        <w:tc>
          <w:tcPr>
            <w:tcW w:type="dxa" w:w="2493"/>
            <w:shd w:val="clear" w:color="auto" w:fill="D9D9D9"/>
          </w:tcPr>
          <w:p>
            <w:pPr>
              <w:spacing w:before="20" w:after="20"/>
            </w:pPr>
            <w:r>
              <w:rPr>
                <w:rFonts w:ascii="Aptos" w:hAnsi="Aptos"/>
                <w:b/>
                <w:i w:val="0"/>
                <w:sz w:val="16"/>
              </w:rPr>
              <w:t>ćw./lab./prac. internetowo</w:t>
            </w:r>
          </w:p>
        </w:tc>
      </w:tr>
      <w:tr>
        <w:tc>
          <w:tcPr>
            <w:tcW w:type="dxa" w:w="2493"/>
          </w:tcPr>
          <w:p>
            <w:pPr>
              <w:spacing w:before="20" w:after="20"/>
            </w:pPr>
            <w:r>
              <w:rPr>
                <w:rFonts w:ascii="Aptos" w:hAnsi="Aptos"/>
                <w:b w:val="0"/>
                <w:i w:val="0"/>
                <w:sz w:val="22"/>
              </w:rPr>
              <w:t>—</w:t>
            </w:r>
          </w:p>
        </w:tc>
        <w:tc>
          <w:tcPr>
            <w:tcW w:type="dxa" w:w="2493"/>
          </w:tcPr>
          <w:p>
            <w:pPr>
              <w:spacing w:before="20" w:after="20"/>
            </w:pPr>
            <w:r>
              <w:rPr>
                <w:rFonts w:ascii="Aptos" w:hAnsi="Aptos"/>
                <w:b w:val="0"/>
                <w:i w:val="0"/>
                <w:sz w:val="22"/>
              </w:rPr>
              <w:t>60</w:t>
            </w:r>
          </w:p>
        </w:tc>
        <w:tc>
          <w:tcPr>
            <w:tcW w:type="dxa" w:w="2493"/>
          </w:tcPr>
          <w:p>
            <w:pPr>
              <w:spacing w:before="20" w:after="20"/>
            </w:pPr>
            <w:r>
              <w:rPr>
                <w:rFonts w:ascii="Aptos" w:hAnsi="Aptos"/>
                <w:b w:val="0"/>
                <w:i w:val="0"/>
                <w:sz w:val="22"/>
              </w:rPr>
              <w:t>—</w:t>
            </w:r>
          </w:p>
        </w:tc>
        <w:tc>
          <w:tcPr>
            <w:tcW w:type="dxa" w:w="2493"/>
          </w:tcPr>
          <w:p>
            <w:pPr>
              <w:spacing w:before="20" w:after="20"/>
            </w:pPr>
            <w:r>
              <w:rPr>
                <w:rFonts w:ascii="Aptos" w:hAnsi="Aptos"/>
                <w:b w:val="0"/>
                <w:i w:val="0"/>
                <w:sz w:val="22"/>
              </w:rPr>
              <w: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3324"/>
            <w:shd w:val="clear" w:color="auto" w:fill="D9D9D9"/>
          </w:tcPr>
          <w:p>
            <w:pPr>
              <w:spacing w:before="20" w:after="20"/>
            </w:pPr>
            <w:r>
              <w:rPr>
                <w:rFonts w:ascii="Aptos" w:hAnsi="Aptos"/>
                <w:b/>
                <w:i w:val="0"/>
                <w:sz w:val="16"/>
              </w:rPr>
              <w:t>Rodzaj nakładu pracy:</w:t>
            </w:r>
          </w:p>
        </w:tc>
        <w:tc>
          <w:tcPr>
            <w:tcW w:type="dxa" w:w="3324"/>
            <w:shd w:val="clear" w:color="auto" w:fill="D9D9D9"/>
          </w:tcPr>
          <w:p>
            <w:pPr>
              <w:spacing w:before="20" w:after="20"/>
            </w:pPr>
            <w:r>
              <w:rPr>
                <w:rFonts w:ascii="Aptos" w:hAnsi="Aptos"/>
                <w:b/>
                <w:i w:val="0"/>
                <w:sz w:val="16"/>
              </w:rPr>
              <w:t>Liczba godzin</w:t>
            </w:r>
          </w:p>
        </w:tc>
        <w:tc>
          <w:tcPr>
            <w:tcW w:type="dxa" w:w="3324"/>
            <w:shd w:val="clear" w:color="auto" w:fill="D9D9D9"/>
          </w:tcPr>
          <w:p>
            <w:pPr>
              <w:spacing w:before="20" w:after="20"/>
            </w:pPr>
            <w:r>
              <w:rPr>
                <w:rFonts w:ascii="Aptos" w:hAnsi="Aptos"/>
                <w:b/>
                <w:i w:val="0"/>
                <w:sz w:val="16"/>
              </w:rPr>
              <w:t>ECTS</w:t>
            </w:r>
          </w:p>
        </w:tc>
      </w:tr>
      <w:tr>
        <w:tc>
          <w:tcPr>
            <w:tcW w:type="dxa" w:w="3324"/>
          </w:tcPr>
          <w:p>
            <w:pPr>
              <w:spacing w:before="20" w:after="20"/>
            </w:pPr>
            <w:r>
              <w:rPr>
                <w:rFonts w:ascii="Aptos" w:hAnsi="Aptos"/>
                <w:b w:val="0"/>
                <w:i w:val="0"/>
                <w:sz w:val="22"/>
              </w:rPr>
              <w:t>Zajęcia z bezpośrednim udziałem nauczyciela</w:t>
            </w:r>
          </w:p>
        </w:tc>
        <w:tc>
          <w:tcPr>
            <w:tcW w:type="dxa" w:w="3324"/>
          </w:tcPr>
          <w:p>
            <w:pPr>
              <w:spacing w:before="20" w:after="20"/>
            </w:pPr>
            <w:r>
              <w:rPr>
                <w:rFonts w:ascii="Aptos" w:hAnsi="Aptos"/>
                <w:b w:val="0"/>
                <w:i w:val="0"/>
                <w:sz w:val="22"/>
              </w:rPr>
              <w:t>60</w:t>
            </w:r>
          </w:p>
        </w:tc>
        <w:tc>
          <w:tcPr>
            <w:tcW w:type="dxa" w:w="3324"/>
          </w:tcPr>
          <w:p>
            <w:pPr>
              <w:spacing w:before="20" w:after="20"/>
            </w:pPr>
            <w:r>
              <w:rPr>
                <w:rFonts w:ascii="Aptos" w:hAnsi="Aptos"/>
                <w:b w:val="0"/>
                <w:i w:val="0"/>
                <w:sz w:val="22"/>
              </w:rPr>
              <w:t>2.4</w:t>
            </w:r>
          </w:p>
        </w:tc>
      </w:tr>
      <w:tr>
        <w:tc>
          <w:tcPr>
            <w:tcW w:type="dxa" w:w="3324"/>
          </w:tcPr>
          <w:p>
            <w:pPr>
              <w:spacing w:before="20" w:after="20"/>
            </w:pPr>
            <w:r>
              <w:rPr>
                <w:rFonts w:ascii="Aptos" w:hAnsi="Aptos"/>
                <w:b w:val="0"/>
                <w:i w:val="0"/>
                <w:sz w:val="22"/>
              </w:rPr>
              <w:t>Samodzielna praca studenta</w:t>
            </w:r>
          </w:p>
        </w:tc>
        <w:tc>
          <w:tcPr>
            <w:tcW w:type="dxa" w:w="3324"/>
          </w:tcPr>
          <w:p>
            <w:pPr>
              <w:spacing w:before="20" w:after="20"/>
            </w:pPr>
            <w:r>
              <w:rPr>
                <w:rFonts w:ascii="Aptos" w:hAnsi="Aptos"/>
                <w:b w:val="0"/>
                <w:i w:val="0"/>
                <w:sz w:val="22"/>
              </w:rPr>
              <w:t>15</w:t>
            </w:r>
          </w:p>
        </w:tc>
        <w:tc>
          <w:tcPr>
            <w:tcW w:type="dxa" w:w="3324"/>
          </w:tcPr>
          <w:p>
            <w:pPr>
              <w:spacing w:before="20" w:after="20"/>
            </w:pPr>
            <w:r>
              <w:rPr>
                <w:rFonts w:ascii="Aptos" w:hAnsi="Aptos"/>
                <w:b w:val="0"/>
                <w:i w:val="0"/>
                <w:sz w:val="22"/>
              </w:rPr>
              <w:t>0.6</w:t>
            </w:r>
          </w:p>
        </w:tc>
      </w:tr>
      <w:tr>
        <w:tc>
          <w:tcPr>
            <w:tcW w:type="dxa" w:w="3324"/>
          </w:tcPr>
          <w:p>
            <w:pPr>
              <w:spacing w:before="20" w:after="20"/>
            </w:pPr>
            <w:r>
              <w:rPr>
                <w:rFonts w:ascii="Aptos" w:hAnsi="Aptos"/>
                <w:b w:val="0"/>
                <w:i w:val="0"/>
                <w:sz w:val="22"/>
              </w:rPr>
              <w:t>Suma</w:t>
            </w:r>
          </w:p>
        </w:tc>
        <w:tc>
          <w:tcPr>
            <w:tcW w:type="dxa" w:w="3324"/>
          </w:tcPr>
          <w:p>
            <w:pPr>
              <w:spacing w:before="20" w:after="20"/>
            </w:pPr>
            <w:r>
              <w:rPr>
                <w:rFonts w:ascii="Aptos" w:hAnsi="Aptos"/>
                <w:b w:val="0"/>
                <w:i w:val="0"/>
                <w:sz w:val="22"/>
              </w:rPr>
              <w:t>75</w:t>
            </w:r>
          </w:p>
        </w:tc>
        <w:tc>
          <w:tcPr>
            <w:tcW w:type="dxa" w:w="3324"/>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Cwiczenia:</w:t>
            </w:r>
          </w:p>
          <w:p>
            <w:pPr>
              <w:spacing w:before="20" w:after="20"/>
            </w:pPr>
            <w:r>
              <w:rPr>
                <w:rFonts w:ascii="Aptos" w:hAnsi="Aptos"/>
                <w:b w:val="0"/>
                <w:sz w:val="22"/>
              </w:rPr>
              <w:t>• analiza tekstów z dyskusją, metoda projektów (projekt praktyczny), praca w grupach, dyskusja, rozwiązywanie zadań, burza mózgów, mind map, praca grupowa nad projektem z wykorzystaniem nowoczesnych technik informatycznych,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Obecność na zajęciach – max. 2 nieusprawiedliwione nieobecności w semestrze.</w:t>
            </w:r>
          </w:p>
          <w:p>
            <w:pPr>
              <w:spacing w:before="20" w:after="20"/>
            </w:pPr>
            <w:r>
              <w:rPr>
                <w:rFonts w:ascii="Aptos" w:hAnsi="Aptos"/>
                <w:sz w:val="22"/>
              </w:rPr>
              <w:t>2. Prace pisemne – min. jedna praca na semestr.</w:t>
            </w:r>
          </w:p>
          <w:p>
            <w:pPr>
              <w:spacing w:before="20" w:after="20"/>
            </w:pPr>
            <w:r>
              <w:rPr>
                <w:rFonts w:ascii="Aptos" w:hAnsi="Aptos"/>
                <w:sz w:val="22"/>
              </w:rPr>
              <w:t>3. Kolokwia/testy/kartkówki na podstawie opracowanego materiału – min. 2 na semestr.</w:t>
            </w:r>
          </w:p>
          <w:p>
            <w:pPr>
              <w:spacing w:before="20" w:after="20"/>
            </w:pPr>
            <w:r>
              <w:rPr>
                <w:rFonts w:ascii="Aptos" w:hAnsi="Aptos"/>
                <w:sz w:val="22"/>
              </w:rPr>
              <w:t>4. Wypowiedź ustna (o rodzaju decyduje lektor).</w:t>
            </w:r>
          </w:p>
          <w:p>
            <w:pPr>
              <w:spacing w:before="20" w:after="20"/>
            </w:pPr>
            <w:r>
              <w:rPr>
                <w:rFonts w:ascii="Aptos" w:hAnsi="Aptos"/>
                <w:sz w:val="22"/>
              </w:rPr>
              <w:t>5. Przygotowywanie prac domowych oraz aktywne uczestnictwo w zajęciach.</w:t>
            </w:r>
          </w:p>
          <w:p>
            <w:pPr>
              <w:spacing w:before="20" w:after="20"/>
            </w:pPr>
            <w:r>
              <w:rPr>
                <w:rFonts w:ascii="Aptos" w:hAnsi="Aptos"/>
                <w:sz w:val="22"/>
              </w:rPr>
              <w:t>6. Kryteria zaliczenia: uzyskanie przynajmniej 51% możliwych punktów za prace pisemne/testy oraz pozytywna (min. 3.0) ocena łączna za pozostałe formy.</w:t>
            </w:r>
          </w:p>
        </w:tc>
        <w:tc>
          <w:tcPr>
            <w:tcW w:type="dxa" w:w="4986"/>
          </w:tcPr>
          <w:p>
            <w:pPr>
              <w:spacing w:before="20" w:after="20"/>
            </w:pPr>
            <w:r>
              <w:rPr>
                <w:rFonts w:ascii="Aptos" w:hAnsi="Aptos"/>
                <w:sz w:val="22"/>
              </w:rPr>
              <w:t>1. Obecność na zajęciach – max. 2 nieusprawiedliwione nieobecności w semestrze.</w:t>
            </w:r>
          </w:p>
          <w:p>
            <w:pPr>
              <w:spacing w:before="20" w:after="20"/>
            </w:pPr>
            <w:r>
              <w:rPr>
                <w:rFonts w:ascii="Aptos" w:hAnsi="Aptos"/>
                <w:sz w:val="22"/>
              </w:rPr>
              <w:t>2. Prace pisemne – min. jedna praca na semestr.</w:t>
            </w:r>
          </w:p>
          <w:p>
            <w:pPr>
              <w:spacing w:before="20" w:after="20"/>
            </w:pPr>
            <w:r>
              <w:rPr>
                <w:rFonts w:ascii="Aptos" w:hAnsi="Aptos"/>
                <w:sz w:val="22"/>
              </w:rPr>
              <w:t>3. Kolokwia/testy/kartkówki na podstawie opracowanego materiału – min. 2 na semestr.</w:t>
            </w:r>
          </w:p>
          <w:p>
            <w:pPr>
              <w:spacing w:before="20" w:after="20"/>
            </w:pPr>
            <w:r>
              <w:rPr>
                <w:rFonts w:ascii="Aptos" w:hAnsi="Aptos"/>
                <w:sz w:val="22"/>
              </w:rPr>
              <w:t>4. Wypowiedź ustna (o rodzaju decyduje lektor).</w:t>
            </w:r>
          </w:p>
          <w:p>
            <w:pPr>
              <w:spacing w:before="20" w:after="20"/>
            </w:pPr>
            <w:r>
              <w:rPr>
                <w:rFonts w:ascii="Aptos" w:hAnsi="Aptos"/>
                <w:sz w:val="22"/>
              </w:rPr>
              <w:t>5. Przygotowywanie prac domowych oraz aktywne uczestnictwo w zajęciach.</w:t>
            </w:r>
          </w:p>
          <w:p>
            <w:pPr>
              <w:spacing w:before="20" w:after="20"/>
            </w:pPr>
            <w:r>
              <w:rPr>
                <w:rFonts w:ascii="Aptos" w:hAnsi="Aptos"/>
                <w:sz w:val="22"/>
              </w:rPr>
              <w:t>6. Kryteria zaliczenia: uzyskanie przynajmniej 51% możliwych punktów za prace pisemne/testy oraz pozytywna (min. 3.0) ocena łączna za pozostałe formy.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NIM2</w:t>
            </w:r>
          </w:p>
        </w:tc>
        <w:tc>
          <w:tcPr>
            <w:tcW w:type="dxa" w:w="4986"/>
          </w:tcPr>
          <w:p>
            <w:pPr>
              <w:spacing w:before="20" w:after="20"/>
            </w:pPr>
            <w:r>
              <w:rPr>
                <w:rFonts w:ascii="Aptos" w:hAnsi="Aptos"/>
                <w:b w:val="0"/>
                <w:i w:val="0"/>
                <w:sz w:val="22"/>
              </w:rPr>
              <w:t>Zagadnienia z NIM2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Nauczanie języka niemieckiego od poziomu A2 do B1. Student  opanowuje język niemiecki w stopniu pozwalającym na komunikację językową w większości sytuacji dnia codziennego i częściowo zawodowego, wyrażanie myśli i opinii, rozumienie i tworzenie krótkich tekstów pisanych i wypowiedzi ustnych na różne tematy. Student poznaje elementy kultury, historii i realiów życia codziennego w Niemczech i krajach niemieckojęzycznych.</w:t>
            </w:r>
          </w:p>
          <w:p>
            <w:pPr>
              <w:spacing w:before="80" w:after="20"/>
            </w:pPr>
            <w:r>
              <w:rPr>
                <w:rFonts w:ascii="Aptos" w:hAnsi="Aptos"/>
                <w:b/>
                <w:sz w:val="22"/>
              </w:rPr>
              <w:t>Abstrakt po angielsku:</w:t>
            </w:r>
          </w:p>
          <w:p>
            <w:pPr>
              <w:spacing w:before="20" w:after="20"/>
            </w:pPr>
            <w:r>
              <w:rPr>
                <w:rFonts w:ascii="Aptos" w:hAnsi="Aptos"/>
                <w:i/>
                <w:sz w:val="22"/>
              </w:rPr>
              <w:t>German language instruction from A2 to B1 level. Students acquire German proficiency enabling communication in most everyday situations and, to some extent, professional contexts, as well as expressing thoughts and opinions and understanding and producing short written texts and spoken statements on various topics. Students also learn about the culture, history, and everyday life of Germany and other German-speaking countries.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15.  Treści programowe poszczególnych zajęć:</w:t>
            </w:r>
          </w:p>
        </w:tc>
      </w:tr>
      <w:tr>
        <w:tc>
          <w:tcPr>
            <w:tcW w:type="dxa" w:w="3324"/>
            <w:shd w:val="clear" w:color="auto" w:fill="D9D9D9"/>
          </w:tcPr>
          <w:p>
            <w:pPr>
              <w:spacing w:before="20" w:after="20"/>
            </w:pPr>
            <w:r>
              <w:rPr>
                <w:rFonts w:ascii="Aptos" w:hAnsi="Aptos"/>
                <w:b/>
                <w:i w:val="0"/>
                <w:sz w:val="16"/>
              </w:rPr>
              <w:t>Nr zajęć</w:t>
            </w:r>
          </w:p>
        </w:tc>
        <w:tc>
          <w:tcPr>
            <w:tcW w:type="dxa" w:w="3324"/>
            <w:shd w:val="clear" w:color="auto" w:fill="D9D9D9"/>
          </w:tcPr>
          <w:p>
            <w:pPr>
              <w:spacing w:before="20" w:after="20"/>
            </w:pPr>
            <w:r>
              <w:rPr>
                <w:rFonts w:ascii="Aptos" w:hAnsi="Aptos"/>
                <w:b/>
                <w:i w:val="0"/>
                <w:sz w:val="16"/>
              </w:rPr>
              <w:t>Wykład</w:t>
            </w:r>
          </w:p>
        </w:tc>
        <w:tc>
          <w:tcPr>
            <w:tcW w:type="dxa" w:w="3324"/>
            <w:shd w:val="clear" w:color="auto" w:fill="D9D9D9"/>
          </w:tcPr>
          <w:p>
            <w:pPr>
              <w:spacing w:before="20" w:after="20"/>
            </w:pPr>
            <w:r>
              <w:rPr>
                <w:rFonts w:ascii="Aptos" w:hAnsi="Aptos"/>
                <w:b/>
                <w:i w:val="0"/>
                <w:sz w:val="16"/>
              </w:rPr>
              <w:t>Ćwiczenia / Laboratorium / Pracownia</w:t>
            </w:r>
          </w:p>
        </w:tc>
      </w:tr>
      <w:tr>
        <w:tc>
          <w:tcPr>
            <w:tcW w:type="dxa" w:w="3324"/>
          </w:tcPr>
          <w:p>
            <w:pPr>
              <w:spacing w:before="20" w:after="20"/>
            </w:pPr>
            <w:r>
              <w:rPr>
                <w:rFonts w:ascii="Aptos" w:hAnsi="Aptos"/>
                <w:b w:val="0"/>
                <w:i w:val="0"/>
                <w:sz w:val="22"/>
              </w:rPr>
              <w:t>1.</w:t>
            </w:r>
          </w:p>
        </w:tc>
        <w:tc>
          <w:tcPr>
            <w:tcW w:type="dxa" w:w="3324"/>
          </w:tcPr>
          <w:p>
            <w:pPr>
              <w:spacing w:before="20" w:after="20"/>
            </w:pPr>
            <w:r>
              <w:rPr>
                <w:rFonts w:ascii="Aptos" w:hAnsi="Aptos"/>
                <w:b w:val="0"/>
                <w:i w:val="0"/>
                <w:sz w:val="22"/>
              </w:rPr>
              <w:t>Wiederholung des Konjuktivs. Sprachspiele./ T2- Unser Leben mit neuen Medien.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2.</w:t>
            </w:r>
          </w:p>
        </w:tc>
        <w:tc>
          <w:tcPr>
            <w:tcW w:type="dxa" w:w="3324"/>
          </w:tcPr>
          <w:p>
            <w:pPr>
              <w:spacing w:before="20" w:after="20"/>
            </w:pPr>
            <w:r>
              <w:rPr>
                <w:rFonts w:ascii="Aptos" w:hAnsi="Aptos"/>
                <w:b w:val="0"/>
                <w:i w:val="0"/>
                <w:sz w:val="22"/>
              </w:rPr>
              <w:t>Was ist Freundcshaft?/ T2- Campus in Deutschalnd. Studieren in Deutschland.</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3.</w:t>
            </w:r>
          </w:p>
        </w:tc>
        <w:tc>
          <w:tcPr>
            <w:tcW w:type="dxa" w:w="3324"/>
          </w:tcPr>
          <w:p>
            <w:pPr>
              <w:spacing w:before="20" w:after="20"/>
            </w:pPr>
            <w:r>
              <w:rPr>
                <w:rFonts w:ascii="Aptos" w:hAnsi="Aptos"/>
                <w:b w:val="0"/>
                <w:i w:val="0"/>
                <w:sz w:val="22"/>
              </w:rPr>
              <w:t>eine informelle E-mail schreiben. Saetze mut ‘weil’, ‘deshalb’, obwohl’. T2- wer die wahl hat?- HV</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4.</w:t>
            </w:r>
          </w:p>
        </w:tc>
        <w:tc>
          <w:tcPr>
            <w:tcW w:type="dxa" w:w="3324"/>
          </w:tcPr>
          <w:p>
            <w:pPr>
              <w:spacing w:before="20" w:after="20"/>
            </w:pPr>
            <w:r>
              <w:rPr>
                <w:rFonts w:ascii="Aptos" w:hAnsi="Aptos"/>
                <w:b w:val="0"/>
                <w:i w:val="0"/>
                <w:sz w:val="22"/>
              </w:rPr>
              <w:t>Sätze mit „trotzdem” und „deshalb”. T2- Eine formelle E-mail schreiben. Seinen weg finden.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5.</w:t>
            </w:r>
          </w:p>
        </w:tc>
        <w:tc>
          <w:tcPr>
            <w:tcW w:type="dxa" w:w="3324"/>
          </w:tcPr>
          <w:p>
            <w:pPr>
              <w:spacing w:before="20" w:after="20"/>
            </w:pPr>
            <w:r>
              <w:rPr>
                <w:rFonts w:ascii="Aptos" w:hAnsi="Aptos"/>
                <w:b w:val="0"/>
                <w:i w:val="0"/>
                <w:sz w:val="22"/>
              </w:rPr>
              <w:t>Frust im Studium. T2: Sätze mit „obwohl”, „trotzdem” – Wiederholung.</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6.</w:t>
            </w:r>
          </w:p>
        </w:tc>
        <w:tc>
          <w:tcPr>
            <w:tcW w:type="dxa" w:w="3324"/>
          </w:tcPr>
          <w:p>
            <w:pPr>
              <w:spacing w:before="20" w:after="20"/>
            </w:pPr>
            <w:r>
              <w:rPr>
                <w:rFonts w:ascii="Aptos" w:hAnsi="Aptos"/>
                <w:b w:val="0"/>
                <w:i w:val="0"/>
                <w:sz w:val="22"/>
              </w:rPr>
              <w:t>Wiedeholung des Wortschatzes. T2- Engagement für Natur und Menschen.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7.</w:t>
            </w:r>
          </w:p>
        </w:tc>
        <w:tc>
          <w:tcPr>
            <w:tcW w:type="dxa" w:w="3324"/>
          </w:tcPr>
          <w:p>
            <w:pPr>
              <w:spacing w:before="20" w:after="20"/>
            </w:pPr>
            <w:r>
              <w:rPr>
                <w:rFonts w:ascii="Aptos" w:hAnsi="Aptos"/>
                <w:b w:val="0"/>
                <w:i w:val="0"/>
                <w:sz w:val="22"/>
              </w:rPr>
              <w:t>Ostern in Deutschland. T2- WWOOF- Arbeit am Text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8.</w:t>
            </w:r>
          </w:p>
        </w:tc>
        <w:tc>
          <w:tcPr>
            <w:tcW w:type="dxa" w:w="3324"/>
          </w:tcPr>
          <w:p>
            <w:pPr>
              <w:spacing w:before="20" w:after="20"/>
            </w:pPr>
            <w:r>
              <w:rPr>
                <w:rFonts w:ascii="Aptos" w:hAnsi="Aptos"/>
                <w:b w:val="0"/>
                <w:i w:val="0"/>
                <w:sz w:val="22"/>
              </w:rPr>
              <w:t>Zaliczenie. T2: Unten im Tal oder oben auf der Alp. – Arbeit mit dem Text.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9.</w:t>
            </w:r>
          </w:p>
        </w:tc>
        <w:tc>
          <w:tcPr>
            <w:tcW w:type="dxa" w:w="3324"/>
          </w:tcPr>
          <w:p>
            <w:pPr>
              <w:spacing w:before="20" w:after="20"/>
            </w:pPr>
            <w:r>
              <w:rPr>
                <w:rFonts w:ascii="Aptos" w:hAnsi="Aptos"/>
                <w:b w:val="0"/>
                <w:i w:val="0"/>
                <w:sz w:val="22"/>
              </w:rPr>
              <w:t>Eine tolle Erfahrung. T2: sich begrüssen- international</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10.</w:t>
            </w:r>
          </w:p>
        </w:tc>
        <w:tc>
          <w:tcPr>
            <w:tcW w:type="dxa" w:w="3324"/>
          </w:tcPr>
          <w:p>
            <w:pPr>
              <w:spacing w:before="20" w:after="20"/>
            </w:pPr>
            <w:r>
              <w:rPr>
                <w:rFonts w:ascii="Aptos" w:hAnsi="Aptos"/>
                <w:b w:val="0"/>
                <w:i w:val="0"/>
                <w:sz w:val="22"/>
              </w:rPr>
              <w:t>Siezen, dozen, miteinander reden. T2: Keine Panik-niemand ist perfekt.</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11.</w:t>
            </w:r>
          </w:p>
        </w:tc>
        <w:tc>
          <w:tcPr>
            <w:tcW w:type="dxa" w:w="3324"/>
          </w:tcPr>
          <w:p>
            <w:pPr>
              <w:spacing w:before="20" w:after="20"/>
            </w:pPr>
            <w:r>
              <w:rPr>
                <w:rFonts w:ascii="Aptos" w:hAnsi="Aptos"/>
                <w:b w:val="0"/>
                <w:i w:val="0"/>
                <w:sz w:val="22"/>
              </w:rPr>
              <w:t>T1: Zaliczenie; Keine Panik- Fehler machen. T2: Eine Stelle in Dresden.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12.</w:t>
            </w:r>
          </w:p>
        </w:tc>
        <w:tc>
          <w:tcPr>
            <w:tcW w:type="dxa" w:w="3324"/>
          </w:tcPr>
          <w:p>
            <w:pPr>
              <w:spacing w:before="20" w:after="20"/>
            </w:pPr>
            <w:r>
              <w:rPr>
                <w:rFonts w:ascii="Aptos" w:hAnsi="Aptos"/>
                <w:b w:val="0"/>
                <w:i w:val="0"/>
                <w:sz w:val="22"/>
              </w:rPr>
              <w:t>T1: Silicon Saxony. T2: Geschichten und Gesichter Berlins</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13.</w:t>
            </w:r>
          </w:p>
        </w:tc>
        <w:tc>
          <w:tcPr>
            <w:tcW w:type="dxa" w:w="3324"/>
          </w:tcPr>
          <w:p>
            <w:pPr>
              <w:spacing w:before="20" w:after="20"/>
            </w:pPr>
            <w:r>
              <w:rPr>
                <w:rFonts w:ascii="Aptos" w:hAnsi="Aptos"/>
                <w:b w:val="0"/>
                <w:i w:val="0"/>
                <w:sz w:val="22"/>
              </w:rPr>
              <w:t>T1:Berliner Geschichten. T2: warum auswandern?</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14.</w:t>
            </w:r>
          </w:p>
        </w:tc>
        <w:tc>
          <w:tcPr>
            <w:tcW w:type="dxa" w:w="3324"/>
          </w:tcPr>
          <w:p>
            <w:pPr>
              <w:spacing w:before="20" w:after="20"/>
            </w:pPr>
            <w:r>
              <w:rPr>
                <w:rFonts w:ascii="Aptos" w:hAnsi="Aptos"/>
                <w:b w:val="0"/>
                <w:i w:val="0"/>
                <w:sz w:val="22"/>
              </w:rPr>
              <w:t>T1: sich informieren. T2: Im Gastland – Österreich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15.</w:t>
            </w:r>
          </w:p>
        </w:tc>
        <w:tc>
          <w:tcPr>
            <w:tcW w:type="dxa" w:w="3324"/>
          </w:tcPr>
          <w:p>
            <w:pPr>
              <w:spacing w:before="20" w:after="20"/>
            </w:pPr>
            <w:r>
              <w:rPr>
                <w:rFonts w:ascii="Aptos" w:hAnsi="Aptos"/>
                <w:b w:val="0"/>
                <w:i w:val="0"/>
                <w:sz w:val="22"/>
              </w:rPr>
              <w:t>T1: Typisch deutsch und österreichisch, T2: Politik in Deutschland.</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DaF Kompakt neu B1 - Birgit Braun, Margit, Doubek, Wydawnictwo Klett</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Nowe repetytorium z gramatyki języka niemieckiego, Stanisław Bęza, Wydawnictwo PWN 2023</w:t>
            </w:r>
          </w:p>
          <w:p>
            <w:pPr>
              <w:spacing w:before="20" w:after="20"/>
            </w:pPr>
            <w:r>
              <w:rPr>
                <w:rFonts w:ascii="Aptos" w:hAnsi="Aptos"/>
                <w:sz w:val="22"/>
              </w:rPr>
              <w:t>2. Welttour Deutsch, Sylwia Mróz-Dwornikowska, Wydawnictwo Nowa Era, 2020</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konstruować proste wypowiedzi pisemne i ustne w języku niemieckim z wykorzystaniem opracowań dydaktycznych zgodnie z zasadami przewidzianymi dla danej formy</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posługiwać się językiem niemieckim w mowie i piśmie na poziomie podstawowym.</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permanentnego doskonalenia kompetencji językowych w celach zawodowych</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ciągłego samokształcenia własnych kompetencji językowych oraz dostrzega potrzebę podejmowania inicjatyw w dziedzinach biznesowych.</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