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grafiki 3D w OpenGL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OGL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Liczba punktów ECTS : 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Laboratorium/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Zaliczenie ćwiczeń polega na zbieraniu punktów: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50% możliwych punktów daje ocenę 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60% punktów daje ocenę 3½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70% — ocenę 4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80% — 4½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90% i więcej — 5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brak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Laboratorium/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Zaliczenie ćwiczeń polega na zbieraniu punktów: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50% możliwych punktów daje ocenę 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60% punktów daje ocenę 3½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70% — ocenę 4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80% — 4½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90% i więcej — 5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Algebra liniowa i geometria  (ALG)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Analiza matematyczna  (AM)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Algorytmy i struktury danych (ASD)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Grafika komputerowa (GRK)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programowanie w C/C++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operacje na macierzach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przekształcenia liniowe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podstawy OpenGL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kształcenia jest nabycie umiejętności wykorzystanie zaawansowanych możliwości biblioteki OpenGL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the ability to use the advanced capabilities of the OpenGL library.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oświetenia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Obiekt buforu ramki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Shadery geometrii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Teselacja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Import modeli 3W w OpenGL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nieba (Skybox)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mgły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przezroczystości. Sprajty punktowe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Sprajty punktowe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nierówności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Shadery obliczeniowe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systemu cząstek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API Vulkan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Bufory w API Vulkan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Teksturowanie w API Vulkan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Laboratorium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oświetenia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Mapowanie cienia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krzywych Béziera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płatów Béziera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Import modeli 3W w OpenGL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nieba (Skybox)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mgły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przezroczystości. Sprajty punktowe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Sprajty punktowe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nierówności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głębi ostrości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systemu cząstek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API Vulkan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Bufory w API Vulkan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Teksturowanie w API Vulkan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S. R. Buss: 3D Computer Graphics: A Mathematical Introduction with OpenGL, Revision draft Draft A.10.b. May 28,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The Khronos Group: OpenGL API Documentation Overview 2024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Graham Sellers, Vulkan Programming Guide, Pearson Education, 2016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Graham Sellers, Richard S. Wright Jr., Nicholas HaemelOpenGL. Księga eksperta. Wydanie VII Helion2016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Alexander Overvoorde, Vulkan Tutorial, https://vulkan-tutorial.com, 2023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programowania grafiki 3D z użyciem OpenGL: architekturę potoku renderowania, programowanie shaderów (GLSL), techniki oświetlenia (shadow mapping, ambient occlusion, PBR). [K_W11]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aktualne narzędzia i technologie grafiki 3D w czasie rzeczywistym: menedżery zasobów sceny, optymalizację (LOD, frustum culling, batching) i nowoczesne API (Vulkan/DirectX 12). [K_W11]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zaprogramować zaawansowaną aplikację grafiki 3D z użyciem OpenGL lub nowszego API, implementując własne shadery, systemy cząsteczkowe i zaawansowane efekty wizualne. [K_U17]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optymalizować aplikację graficzną pod kątem wydajności renderowania na nowoczesnym sprzęcie GPU. [K_U17]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zaawansowanych technologii graficznych przez całe życie zawodowe.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krytycznej oceny i doboru technologii graficznych do wymagań konkretnego projektu inżynierskiego. [K_K05]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