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Anatomia zagrożenia – Ransomware (wg. ENISA)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Anatomia zagrożenia – Malware (wg. ENISA)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Anatomia zagrożenia – Cryptojacking (wg. ENISA)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Anatomia zagrożenia - E-mail related threats (wg. ENISA)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Anatomia zagrożenia - Threats against data (wg. ENISA)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Anatomia zagrożenia - Threats against availability and integrity (wg. ENISA)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Anatomia zagrożenia - Disinformation – misinformation (wg. ENISA)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Anatomia zagrożenia - Non-malicious threats (wg. ENISA)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Laboratoria: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Zapoznanie się z organizacją oraz utworzenie Zespołów SOC</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Atak 1: Atak typu Ransomware, Poziom 1– Reakcja i prewencja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Atak 2: Atak typu Malware. Poziom 1 – Reakcja i prewencja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Atak 3: Atak typu Cryptojacking, Poziom 1 – Reakcja i prewencja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Atak 4: Atak typu E-mail related threats, Poziom 1 – Reakcja i prewencja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Atak 5: Atak typu Threats against data, Poziom 1 – Reakcja i prewencja</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Atak 6: Atak typu Threats against availability and integrity, Poziom 1 – Reakcja i prewencja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Atak 7: Atak typu Disinformation – misinformation, Poziom 1 – Reakcja i prewencja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Atak 8: Atak typu Non-malicious threats, Poziom 1 – Reakcja i prewencja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Atak 9: Atak typu Zaawansowany wektor ataku 1, Poziom 2  – Reakcja i prewencja</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Atak 10: Atak typu Zaawansowany wektor ataku 2, Poziom 2  – Reakcja i prewencja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Atak 11: Atak typu Zaawansowany wektor ataku 3, Poziom 2  – Reakcja i prewencja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Atak 12 : Atak typu Zaawansowany wektor ataku 4, Poziom 2  – Reakcja i prewencja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