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Zagadnienia z matematyki np.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algebra,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liczby naturalne,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liczby rzeczywiste,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liczby całkowite,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liczby wymierne,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działania wykonywane na liczbach,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notacja pozycyjna,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figury geometryczne,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macierze,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typy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tryb całkowitoliczbowy,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tryb zmiennoprzecinkowy,</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tekstowe typy danych etc.</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2.Zagadnienia biznesowe (w zależności od poziomu zaawansowania grupy) np.</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debatowanie,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wywieranie wpływu,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podejmowanie decyzji,</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komunikacja w biznesie,</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marki,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zatrudnienie,</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etyka zawodowa,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team building,</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style zarządzania,  rynki międzynarodowe etc.</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4. Zagadnienia z zakresu informatyki (w zależności od poziomu zaawansowania grupy np).</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zastosowanie komputerów w życiu codziennym,</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systemy operacyjne,</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mikroprocesory,</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bazy danych,</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Internet,</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wirusy komputerowe,</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gry komputerowe, sieci komputerowe,</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nowe technologie,</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języki programowania,</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oprogramowanie komputerowe etc.)</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9. Słuchanie w oparciu o materiały przedstawiające sytuacje związane ze</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11. Analiza i rozumienie języka specjalistycznego oraz tłumaczenie krótkich tekstów technicznych. K_U01</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14. Wypowiedzi ustne studentów (prezentacje multimedialne, artykuły prasowe,  prezentacje projektów etc.)</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15. Colloquium / Podsumowanie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