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2</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47</w:t>
            </w:r>
          </w:p>
        </w:tc>
        <w:tc>
          <w:tcPr>
            <w:tcW w:type="dxa" w:w="1994"/>
            <w:gridSpan w:val="2"/>
          </w:tcPr>
          <w:p>
            <w:pPr>
              <w:spacing w:before="20" w:after="20"/>
            </w:pPr>
            <w:r>
              <w:rPr>
                <w:rFonts w:ascii="Aptos" w:hAnsi="Aptos"/>
                <w:b w:val="0"/>
                <w:i w:val="0"/>
                <w:sz w:val="22"/>
              </w:rPr>
              <w:t>1.9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NIM1</w:t>
            </w:r>
          </w:p>
        </w:tc>
        <w:tc>
          <w:tcPr>
            <w:tcW w:type="dxa" w:w="4986"/>
          </w:tcPr>
          <w:p>
            <w:pPr>
              <w:spacing w:before="20" w:after="20"/>
            </w:pPr>
            <w:r>
              <w:rPr>
                <w:rFonts w:ascii="Aptos" w:hAnsi="Aptos"/>
                <w:b w:val="0"/>
                <w:i w:val="0"/>
                <w:sz w:val="22"/>
              </w:rPr>
              <w:t>Zagadnienia z NIM1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at the B1/B1+ level. Students acquire German proficiency enabling communication in most everyday and professional situations, expressing thoughts and opinions, and understanding and producing written texts and spoken statements on general topics and specialist topics related to computer science.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Powtórzenie i diagnoza poziomu. Słownictwo: środowisko pracy i życie studenta.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Gramatyka: Konjunktiv II – wyrażanie życzeń, możliwości i warunków.</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Słownictwo IT: sprzęt komputerowy, oprogramowanie, systemy operacyjne.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Komunikacja zawodowa: korespondencja e-mailowa, pisanie podania o pracę.</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Gramatyka: Passiv – budowanie i użycie strony biernej w opisach procesów.</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Słownictwo: internet, sieci komputerowe, bezpieczeństwo danych.</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Czytanie ze zrozumieniem: artykuły techniczne w języku niemieckim.</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Prezentacje w języku niemieckim – struktura i słownictwo.</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Słownictwo: programowanie, algorytmy, języki programowania.</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Komunikacja w projekcie: spotkania, raporty, statusy – symulacje.</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Kultura i realia gospodarcze Niemiec, Austrii i Szwajcarii – rynek IT.</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Przygotowanie do certyfikacji B1 (Goethe-Zertifikat B1) – ćwiczenia.</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Projekt zaliczeniowy – prezentacja lub raport w języku niemieckim.</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Powtórzenie materiału.</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Kolokwium zaliczeniowe.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