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118</w:t>
            </w:r>
          </w:p>
        </w:tc>
        <w:tc>
          <w:tcPr>
            <w:tcW w:type="dxa" w:w="1994"/>
            <w:gridSpan w:val="2"/>
          </w:tcPr>
          <w:p>
            <w:pPr>
              <w:spacing w:before="20" w:after="20"/>
            </w:pPr>
            <w:r>
              <w:rPr>
                <w:rFonts w:ascii="Aptos" w:hAnsi="Aptos"/>
                <w:b w:val="0"/>
                <w:i w:val="0"/>
                <w:sz w:val="22"/>
              </w:rPr>
              <w:t>4.7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Pojęcia i metody inżynierii oprogramowania. Cykl życia produktu informatycznego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Faza przedprojektowa i planowanie projektu; Dokument Założeń Wstępnych (DZW)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Praktyczne przykłady konstrukcji SWS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Cechy narządzi CASE. Enterprise Architect</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Model przypadków użycia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Praktyka modelowania i specyfikacji przypadków użycia. Techniki specyfikacji scenariuszy przypadków użycia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dynamiki systemu w języku UML – wprowadzenie. Techniki modelowania interakcji w systemie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Diagramy sekwencji UML jako uniwersalna technika modelowania interakcji pomiędzy składowymi systemu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Alternatywne techniki modelowania interakcje na przykładzie diagramu komunikacji. Wstęp do transformacji w narzędziu Enterprise Architect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Specyfikowanie przypadków użycia z wykorzystaniem diagramów czynności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Zaawansowane przykłady modelowania diagramu klas UML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Diagramy maszyny stanowej jako technika zarządzania złożonością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