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RT i FreeRTOS: pojęcia deterministyczności, jitter, deadline, zadania vs przerwania.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Scheduler FreeRTOS: priorytety, wywłaszczanie, time-slicing, stany zadań, dobór konfiguracji.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Zarządzanie czasem: tick, opóźnienia i timeouty, vTaskDelay/Until, timery programowe.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między zadaniami: kolejki, stream/message buffers, wzorce producent–konsument.</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Synchronizacja i sekcje krytyczne: semafory, mutexy, recursive mutex, problem priority inversion.</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Event Groups i Task Notifications: sygnalizacja zdarzeń, szybkie mechanizmy synchronizacji.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Przerwania w FreeRTOS: ISR-safe API, kolejki z ISR, zarządzanie latencją i czasem obsługi.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Pamięć w FreeRTOS: stos zadania, heap (strategie), alokacja dynamiczna, fragmentacja, diagnostyka.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obserwowalność: trace, runtime stats, watchdog, analiza zakleszczeń i przepełnień stosu.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RTOS end-to-end: architektura aplikacji, podział na moduły, testy funkcjonalne i czasowe, kryteria zaliczenia.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