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2</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hiszpański LEK1</w:t>
            </w:r>
          </w:p>
        </w:tc>
        <w:tc>
          <w:tcPr>
            <w:tcW w:type="dxa" w:w="4986"/>
          </w:tcPr>
          <w:p>
            <w:pPr>
              <w:spacing w:before="20" w:after="20"/>
            </w:pPr>
            <w:r>
              <w:rPr>
                <w:rFonts w:ascii="Aptos" w:hAnsi="Aptos"/>
                <w:b w:val="0"/>
                <w:i w:val="0"/>
                <w:sz w:val="22"/>
              </w:rPr>
              <w:t>Znajomość języka hiszpańskiego na poziomie A1.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Kontynuacja nauczania języka hiszpańskiego na poziomie A2. Student opanowuje język w stopniu pozwalającym na komunikację w większości sytuacji dnia codziennego i częściowo zawodowego. Kurs obejmuje rozszerzenie słownictwa, utrwalenie podstawowych czasów gramatycznych oraz poznanie elementów kultury Hiszpanii i krajów hiszpańskojęzycznych.</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Życie codzienne – czas zegarowy, czynności wykonywane w różnych porach dnia. Odmiana czasowników regularnych w czasie teraźniejszym.</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Życie codzienne – czynności dnia codziennego. Odmiana czasowników nieregularnych (e→ie, o→ue, u→ue, e→i) w czasie teraźniejszym.</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Pogoda – zjawiska atmosferyczne, nazwy miesięcy, kierunki geograficzne, pory roku. Użycie rodzajnika określonego przy porach dnia i datach.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Czas wolny – nazwy zainteresowań i upodobań. Czasowniki gustar i encantar w czasie teraźniejszym. Przysłówki tampoco i también.</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Jedzenie – artykuły spożywcze i rodzaje opakowań, piramida żywieniowa. Przysłówki i wyrażenia czasu. Posiłki w Kolumbii i Hiszpanii.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Jedzenie – nazwy potraw i posiłków, składanie i przyjmowanie zamówień w lokalu gastronomicznym. Powtórzenie wiadomości.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Świat technologii – słownictwo związane z branżą IT.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Zawód informatyka – szkolenia, kompetencje, praca. Stopień najwyższy przymiotników i przysłówków.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2,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p>
            <w:pPr>
              <w:spacing w:before="20" w:after="20"/>
            </w:pPr>
            <w:r>
              <w:rPr>
                <w:rFonts w:ascii="Aptos" w:hAnsi="Aptos"/>
                <w:sz w:val="22"/>
              </w:rPr>
              <w:t>3. https://www.profedeele.es/</w:t>
            </w:r>
          </w:p>
          <w:p>
            <w:pPr>
              <w:spacing w:before="20" w:after="20"/>
            </w:pPr>
            <w:r>
              <w:rPr>
                <w:rFonts w:ascii="Aptos" w:hAnsi="Aptos"/>
                <w:sz w:val="22"/>
              </w:rPr>
              <w:t>4. https://www.ver-taal.com/</w:t>
            </w:r>
          </w:p>
          <w:p>
            <w:pPr>
              <w:spacing w:before="20" w:after="20"/>
            </w:pPr>
            <w:r>
              <w:rPr>
                <w:rFonts w:ascii="Aptos" w:hAnsi="Aptos"/>
                <w:sz w:val="22"/>
              </w:rPr>
              <w:t>5.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 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