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6)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5 (LEK2)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B2+/C1.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C1. Student osiąga biegłość zawodową i akademicką w języku angielskim pozwalającą na samodzielne prowadzenie projektów, pisanie prac dyplomowych i uczestnictwo w konferencjach naukowych.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Online, Academic Word List.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konstruować wypowiedzi pisemne i ustne w języku angielskim na poziomie C1, w tym pisać pracę dyplomową.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na poziomie C1 w środowisku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uczestnictwa w międzynarodowych projektach i konferencjach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