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i diagnoza poziomu. Słownictwo: środowisko pracy i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Gramatyka: Konjunktiv II – wyrażanie życzeń, możliwości i warunków.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Słownictwo IT: sprzęt komputerowy, oprogramowanie, systemy operacyjne.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zawodowa: korespondencja e-mailowa, pisanie podania o pracę.</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Gramatyka: Passiv – budowanie i użycie strony biernej w opisach procesów.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Słownictwo: internet, sieci komputerowe, bezpieczeństwo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Czytanie ze zrozumieniem: artykuły techniczne w języku niemieckim.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Prezentacje w języku niemieckim – struktura i słownictwo.</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Słownictwo: programowanie, algorytmy, języki programowania.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Komunikacja w projekcie: spotkania, raporty, statusy – symulacje.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Kultura i realia gospodarcze Niemiec, Austrii i Szwajcarii – rynek IT.</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Przygotowanie do certyfikacji B1 (Goethe-Zertifikat B1) – ćwiczenia.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Projekt zaliczeniowy – prezentacja lub raport w języku niemieckim.</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Powtórzenie materiału.</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