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Ćwiczenia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Kreatywność menedżerska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Profil osoby kreatywnej i przedsiębiorczej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Istota i motywy przedsiębiorczości gospodarczej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Tworzenie i analiza ścieżki doświadczeń dla wybranego produktu / usługi (praca z szablonem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customer journey map)</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Metody graficzne i analityczne w diagnozowaniu</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problemu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Odkrywanie możliwości dla produktu innowacyjnego – studium przypadku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Rozpoznawanie szans rynkowych i możliwości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sytuacyjnych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Analiza rozwoju firm innowacyjnych – macierz</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kluczowych czynników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Planowanie rozwoju - elementy analizy strategicznej</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Wprowadzenie do Design Thinking</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Struktury organizacyjne</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Wprowadzenie do pracy zespołowej i projektowej</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Trening umiejętności pracy w zespole.</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Organizowanie procesów i zarządzanie zasobami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Środowiska do komputerowego</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wspomagania pracy projektowej 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zespołowej</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Kontrolowanie, doskonalenie i zarządzanie jakością</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Identyfikacja potrzeb; wprowadzenie do analizy badań zastanych i jakościowych – wywiad,</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obserwacja uczestnicząca, netnografia; mapa empatii, Persony</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Mała firma – cykl rozwojowy i czynniki sukcesu</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Diagnoza problemu:</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Metoda 5 x dlaczego</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Metoda Pareto-Lorenza i Diagram</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Ishikawy</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Rysowanie odręczne</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Zarządzanie personelem i motywowanie</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Metoda Kano</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Wybrane techniki oceny wariantów i wspomagania</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decyzji</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Indywidualne generowanie pomysłów do problemu (mindmapping, analiza</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morfologiczna)</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Generowanie pomysłów: burza mózgów,</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MindMapping, deBono</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Zespołowe generowanie pomysłów:</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burza mózgów i metoda 6 kapeluszy</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Wybrane techniki oceny wariantów i wspomagania</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decyzji</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Metody oceny wariantów; testowanie wygenerowanych rozwiązań</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Organizacja kreatywnej pracy zespołowej</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Ocena potencjału motywacyjnego</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personelu; analiza i dopracowywanie własnego CV, SWOT osobisty</w:t>
            </w:r>
          </w:p>
        </w:tc>
      </w:tr>
      <w:tr>
        <w:tc>
          <w:tcPr>
            <w:tcW w:type="dxa" w:w="680"/>
          </w:tcPr>
          <w:p>
            <w:pPr>
              <w:spacing w:before="20" w:after="20"/>
            </w:pPr>
            <w:r>
              <w:rPr>
                <w:rFonts w:ascii="Aptos" w:hAnsi="Aptos"/>
                <w:b w:val="0"/>
                <w:i w:val="0"/>
                <w:sz w:val="22"/>
              </w:rPr>
              <w:t>49.</w:t>
            </w:r>
          </w:p>
        </w:tc>
        <w:tc>
          <w:tcPr>
            <w:tcW w:type="dxa" w:w="8788"/>
          </w:tcPr>
          <w:p>
            <w:pPr>
              <w:spacing w:before="20" w:after="20"/>
            </w:pPr>
            <w:r>
              <w:rPr>
                <w:rFonts w:ascii="Aptos" w:hAnsi="Aptos"/>
                <w:b w:val="0"/>
                <w:i w:val="0"/>
                <w:sz w:val="22"/>
              </w:rPr>
              <w:t>Zarządzanie wiedzą i innowacjami w organizacji</w:t>
            </w:r>
          </w:p>
        </w:tc>
      </w:tr>
      <w:tr>
        <w:tc>
          <w:tcPr>
            <w:tcW w:type="dxa" w:w="680"/>
          </w:tcPr>
          <w:p>
            <w:pPr>
              <w:spacing w:before="20" w:after="20"/>
            </w:pPr>
            <w:r>
              <w:rPr>
                <w:rFonts w:ascii="Aptos" w:hAnsi="Aptos"/>
                <w:b w:val="0"/>
                <w:i w:val="0"/>
                <w:sz w:val="22"/>
              </w:rPr>
              <w:t>50.</w:t>
            </w:r>
          </w:p>
        </w:tc>
        <w:tc>
          <w:tcPr>
            <w:tcW w:type="dxa" w:w="8788"/>
          </w:tcPr>
          <w:p>
            <w:pPr>
              <w:spacing w:before="20" w:after="20"/>
            </w:pPr>
            <w:r>
              <w:rPr>
                <w:rFonts w:ascii="Aptos" w:hAnsi="Aptos"/>
                <w:b w:val="0"/>
                <w:i w:val="0"/>
                <w:sz w:val="22"/>
              </w:rPr>
              <w:t>Zasady efektywnej komunikacji;</w:t>
            </w:r>
          </w:p>
        </w:tc>
      </w:tr>
      <w:tr>
        <w:tc>
          <w:tcPr>
            <w:tcW w:type="dxa" w:w="680"/>
          </w:tcPr>
          <w:p>
            <w:pPr>
              <w:spacing w:before="20" w:after="20"/>
            </w:pPr>
            <w:r>
              <w:rPr>
                <w:rFonts w:ascii="Aptos" w:hAnsi="Aptos"/>
                <w:b w:val="0"/>
                <w:i w:val="0"/>
                <w:sz w:val="22"/>
              </w:rPr>
              <w:t>51.</w:t>
            </w:r>
          </w:p>
        </w:tc>
        <w:tc>
          <w:tcPr>
            <w:tcW w:type="dxa" w:w="8788"/>
          </w:tcPr>
          <w:p>
            <w:pPr>
              <w:spacing w:before="20" w:after="20"/>
            </w:pPr>
            <w:r>
              <w:rPr>
                <w:rFonts w:ascii="Aptos" w:hAnsi="Aptos"/>
                <w:b w:val="0"/>
                <w:i w:val="0"/>
                <w:sz w:val="22"/>
              </w:rPr>
              <w:t>Prezentacja rozwiązań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