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p>
            <w:pPr>
              <w:spacing w:before="20" w:after="20"/>
            </w:pPr>
            <w:r>
              <w:rPr>
                <w:rFonts w:ascii="Aptos" w:hAnsi="Aptos"/>
                <w:b/>
                <w:sz w:val="22"/>
              </w:rPr>
              <w:t>Laboratorium:</w:t>
            </w:r>
          </w:p>
          <w:p>
            <w:pPr>
              <w:spacing w:before="20" w:after="20"/>
            </w:pPr>
            <w:r>
              <w:rPr>
                <w:rFonts w:ascii="Aptos" w:hAnsi="Aptos"/>
                <w:b w:val="0"/>
                <w:sz w:val="22"/>
              </w:rPr>
              <w:t>• Ćwiczenia praktyczne: budowanie, uruchamianie i orkiestracja kontenerów z użyciem Docker, Docker Compose oraz Kubernetes; realizacja projektu końcowego obejmującego pełny cykl konteneryzacji aplikacji webowej.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