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7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C1 level. Students achieve professional and academic fluency in English enabling them to independently conduct projects, write diploma theses, and participate in scientific conferences.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poprzednich semestrów.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pracy inżynierskiej po angielsku – struktura rozdziałów, styl akademicki, cytowanie.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branżowe z zakresu specjalizacji studenta – analiza tekstów naukowych.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wyników badań – konferencja naukowa: abstrakt, poster, prezentacja.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Zaawansowana komunikacja biznesowa: negocjacje, zarządzanie konfliktem, feedback.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case studies z obszaru IT w języku angielskim – dyskusja i wnioski.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listu motywacyjnego i CV na rynek zagraniczny.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 w języku angielskim – zaawansowane symulacje.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Anglojęzyczne standardy i regulacje IT: GDPR, ISO, IEEE – analiza dokumentów.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dyplomowego w języku angielskim –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C1/C2 – ćwiczenia z testów CAE/CPE.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prezentacja lub esej akademicki.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