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Polsko-Japońska Akademia Technik Komputerowych Filia w Gdańsku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Kompetencje lidera IT</w:t>
            </w:r>
          </w:p>
        </w:tc>
        <w:tc>
          <w:tcPr>
            <w:tcW w:type="dxa" w:w="4986"/>
            <w:gridSpan w:val="2"/>
          </w:tcPr>
          <w:p>
            <w:pPr>
              <w:spacing w:before="20" w:after="20"/>
            </w:pPr>
            <w:r>
              <w:rPr>
                <w:rFonts w:ascii="Aptos" w:hAnsi="Aptos"/>
                <w:b w:val="0"/>
                <w:i w:val="0"/>
                <w:sz w:val="22"/>
              </w:rPr>
              <w:t>19.02.2026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KLI</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Gdańsku</w:t>
            </w:r>
          </w:p>
        </w:tc>
        <w:tc>
          <w:tcPr>
            <w:tcW w:type="dxa" w:w="4986"/>
            <w:gridSpan w:val="2"/>
          </w:tcPr>
          <w:p>
            <w:pPr>
              <w:spacing w:before="20" w:after="20"/>
            </w:pPr>
            <w:r>
              <w:rPr>
                <w:rFonts w:ascii="Aptos" w:hAnsi="Aptos"/>
                <w:b w:val="0"/>
                <w:i w:val="0"/>
                <w:sz w:val="22"/>
              </w:rPr>
              <w:t>2</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stacjonarny</w:t>
            </w:r>
          </w:p>
        </w:tc>
        <w:tc>
          <w:tcPr>
            <w:tcW w:type="dxa" w:w="1662"/>
          </w:tcPr>
          <w:p>
            <w:pPr>
              <w:spacing w:before="20" w:after="20"/>
            </w:pPr>
            <w:r>
              <w:rPr>
                <w:rFonts w:ascii="Aptos" w:hAnsi="Aptos"/>
                <w:b w:val="0"/>
                <w:i w:val="0"/>
                <w:sz w:val="22"/>
              </w:rPr>
              <w:t>obieralny</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5</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Aleksandr Polin</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
        <w:gridCol w:w="997"/>
        <w:gridCol w:w="997"/>
        <w:gridCol w:w="997"/>
        <w:gridCol w:w="997"/>
        <w:gridCol w:w="997"/>
        <w:gridCol w:w="997"/>
        <w:gridCol w:w="997"/>
        <w:gridCol w:w="997"/>
        <w:gridCol w:w="997"/>
      </w:tblGrid>
      <w:tr>
        <w:tc>
          <w:tcPr>
            <w:tcW w:type="dxa" w:w="9970"/>
            <w:gridSpan w:val="10"/>
            <w:shd w:val="clear" w:color="auto" w:fill="D9D9D9"/>
          </w:tcPr>
          <w:p>
            <w:pPr>
              <w:spacing w:before="20" w:after="20"/>
            </w:pPr>
            <w:r>
              <w:rPr>
                <w:rFonts w:ascii="Aptos" w:hAnsi="Aptos"/>
                <w:b/>
                <w:i w:val="0"/>
                <w:sz w:val="22"/>
              </w:rPr>
              <w:t>9.  Formy zajęć, sposób ich realizacji i przypisana im liczba godzin:</w:t>
            </w:r>
          </w:p>
        </w:tc>
      </w:tr>
      <w:tr>
        <w:tc>
          <w:tcPr>
            <w:tcW w:type="dxa" w:w="9970"/>
            <w:gridSpan w:val="10"/>
            <w:shd w:val="clear" w:color="auto" w:fill="D9D9D9"/>
          </w:tcPr>
          <w:p>
            <w:pPr>
              <w:spacing w:before="20" w:after="20"/>
            </w:pPr>
            <w:r>
              <w:rPr>
                <w:rFonts w:ascii="Aptos" w:hAnsi="Aptos"/>
                <w:b w:val="0"/>
                <w:i w:val="0"/>
                <w:sz w:val="16"/>
              </w:rPr>
              <w:t>Wymiar godzinowy (liczba godzin w semestrze)</w:t>
            </w:r>
          </w:p>
        </w:tc>
      </w:tr>
      <w:tr>
        <w:tc>
          <w:tcPr>
            <w:tcW w:type="dxa" w:w="1994"/>
            <w:gridSpan w:val="2"/>
            <w:shd w:val="clear" w:color="auto" w:fill="D9D9D9"/>
          </w:tcPr>
          <w:p>
            <w:pPr>
              <w:spacing w:before="20" w:after="20"/>
            </w:pPr>
            <w:r>
              <w:rPr>
                <w:rFonts w:ascii="Aptos" w:hAnsi="Aptos"/>
                <w:b/>
                <w:i w:val="0"/>
                <w:sz w:val="16"/>
              </w:rPr>
              <w:t>wykład</w:t>
            </w:r>
          </w:p>
        </w:tc>
        <w:tc>
          <w:tcPr>
            <w:tcW w:type="dxa" w:w="2991"/>
            <w:gridSpan w:val="3"/>
            <w:shd w:val="clear" w:color="auto" w:fill="D9D9D9"/>
          </w:tcPr>
          <w:p>
            <w:pPr>
              <w:spacing w:before="20" w:after="20"/>
            </w:pPr>
            <w:r>
              <w:rPr>
                <w:rFonts w:ascii="Aptos" w:hAnsi="Aptos"/>
                <w:b/>
                <w:i w:val="0"/>
                <w:sz w:val="16"/>
              </w:rPr>
              <w:t>ćwiczenia/laboratorium/pracownia</w:t>
            </w:r>
          </w:p>
        </w:tc>
        <w:tc>
          <w:tcPr>
            <w:tcW w:type="dxa" w:w="2991"/>
            <w:gridSpan w:val="3"/>
            <w:shd w:val="clear" w:color="auto" w:fill="D9D9D9"/>
          </w:tcPr>
          <w:p>
            <w:pPr>
              <w:spacing w:before="20" w:after="20"/>
            </w:pPr>
            <w:r>
              <w:rPr>
                <w:rFonts w:ascii="Aptos" w:hAnsi="Aptos"/>
                <w:b/>
                <w:i w:val="0"/>
                <w:sz w:val="16"/>
              </w:rPr>
              <w:t>wykład internetowo</w:t>
            </w:r>
          </w:p>
        </w:tc>
        <w:tc>
          <w:tcPr>
            <w:tcW w:type="dxa" w:w="1994"/>
            <w:gridSpan w:val="2"/>
            <w:shd w:val="clear" w:color="auto" w:fill="D9D9D9"/>
          </w:tcPr>
          <w:p>
            <w:pPr>
              <w:spacing w:before="20" w:after="20"/>
            </w:pPr>
            <w:r>
              <w:rPr>
                <w:rFonts w:ascii="Aptos" w:hAnsi="Aptos"/>
                <w:b/>
                <w:i w:val="0"/>
                <w:sz w:val="16"/>
              </w:rPr>
              <w:t>ćw./lab./prac. internetowo</w:t>
            </w:r>
          </w:p>
        </w:tc>
      </w:tr>
      <w:tr>
        <w:tc>
          <w:tcPr>
            <w:tcW w:type="dxa" w:w="1994"/>
            <w:gridSpan w:val="2"/>
          </w:tcPr>
          <w:p>
            <w:pPr>
              <w:spacing w:before="20" w:after="20"/>
            </w:pPr>
            <w:r>
              <w:rPr>
                <w:rFonts w:ascii="Aptos" w:hAnsi="Aptos"/>
                <w:b w:val="0"/>
                <w:i w:val="0"/>
                <w:sz w:val="22"/>
              </w:rPr>
              <w:t>30</w:t>
            </w:r>
          </w:p>
        </w:tc>
        <w:tc>
          <w:tcPr>
            <w:tcW w:type="dxa" w:w="2991"/>
            <w:gridSpan w:val="3"/>
          </w:tcPr>
          <w:p>
            <w:pPr>
              <w:spacing w:before="20" w:after="20"/>
            </w:pPr>
            <w:r>
              <w:rPr>
                <w:rFonts w:ascii="Aptos" w:hAnsi="Aptos"/>
                <w:b w:val="0"/>
                <w:i w:val="0"/>
                <w:sz w:val="22"/>
              </w:rPr>
              <w:t>—</w:t>
            </w:r>
          </w:p>
        </w:tc>
        <w:tc>
          <w:tcPr>
            <w:tcW w:type="dxa" w:w="2991"/>
            <w:gridSpan w:val="3"/>
          </w:tcPr>
          <w:p>
            <w:pPr>
              <w:spacing w:before="20" w:after="20"/>
            </w:pPr>
            <w:r>
              <w:rPr>
                <w:rFonts w:ascii="Aptos" w:hAnsi="Aptos"/>
                <w:b w:val="0"/>
                <w:i w:val="0"/>
                <w:sz w:val="22"/>
              </w:rPr>
              <w:t>—</w:t>
            </w:r>
          </w:p>
        </w:tc>
        <w:tc>
          <w:tcPr>
            <w:tcW w:type="dxa" w:w="1994"/>
            <w:gridSpan w:val="2"/>
          </w:tcPr>
          <w:p>
            <w:pPr>
              <w:spacing w:before="20" w:after="20"/>
            </w:pPr>
            <w:r>
              <w:rPr>
                <w:rFonts w:ascii="Aptos" w:hAnsi="Aptos"/>
                <w:b w:val="0"/>
                <w:i w:val="0"/>
                <w:sz w:val="22"/>
              </w:rPr>
              <w:t>—</w:t>
            </w:r>
          </w:p>
        </w:tc>
      </w:tr>
      <w:tr>
        <w:tc>
          <w:tcPr>
            <w:tcW w:type="dxa" w:w="9970"/>
            <w:gridSpan w:val="10"/>
            <w:shd w:val="clear" w:color="auto" w:fill="D9D9D9"/>
          </w:tcPr>
          <w:p>
            <w:pPr>
              <w:spacing w:before="20" w:after="20"/>
            </w:pPr>
            <w:r>
              <w:rPr>
                <w:rFonts w:ascii="Aptos" w:hAnsi="Aptos"/>
                <w:b/>
                <w:i w:val="0"/>
                <w:sz w:val="22"/>
              </w:rPr>
              <w:t>Bilans ECTS</w:t>
            </w:r>
          </w:p>
        </w:tc>
      </w:tr>
      <w:tr>
        <w:tc>
          <w:tcPr>
            <w:tcW w:type="dxa" w:w="4985"/>
            <w:gridSpan w:val="5"/>
            <w:shd w:val="clear" w:color="auto" w:fill="D9D9D9"/>
          </w:tcPr>
          <w:p>
            <w:pPr>
              <w:spacing w:before="20" w:after="20"/>
            </w:pPr>
            <w:r>
              <w:rPr>
                <w:rFonts w:ascii="Aptos" w:hAnsi="Aptos"/>
                <w:b/>
                <w:i w:val="0"/>
                <w:sz w:val="16"/>
              </w:rPr>
              <w:t>Rodzaj nakładu pracy:</w:t>
            </w:r>
          </w:p>
        </w:tc>
        <w:tc>
          <w:tcPr>
            <w:tcW w:type="dxa" w:w="2991"/>
            <w:gridSpan w:val="3"/>
            <w:shd w:val="clear" w:color="auto" w:fill="D9D9D9"/>
          </w:tcPr>
          <w:p>
            <w:pPr>
              <w:spacing w:before="20" w:after="20"/>
            </w:pPr>
            <w:r>
              <w:rPr>
                <w:rFonts w:ascii="Aptos" w:hAnsi="Aptos"/>
                <w:b/>
                <w:i w:val="0"/>
                <w:sz w:val="16"/>
              </w:rPr>
              <w:t>Liczba godzin</w:t>
            </w:r>
          </w:p>
        </w:tc>
        <w:tc>
          <w:tcPr>
            <w:tcW w:type="dxa" w:w="1994"/>
            <w:gridSpan w:val="2"/>
            <w:shd w:val="clear" w:color="auto" w:fill="D9D9D9"/>
          </w:tcPr>
          <w:p>
            <w:pPr>
              <w:spacing w:before="20" w:after="20"/>
            </w:pPr>
            <w:r>
              <w:rPr>
                <w:rFonts w:ascii="Aptos" w:hAnsi="Aptos"/>
                <w:b/>
                <w:i w:val="0"/>
                <w:sz w:val="16"/>
              </w:rPr>
              <w:t>ECTS</w:t>
            </w:r>
          </w:p>
        </w:tc>
      </w:tr>
      <w:tr>
        <w:tc>
          <w:tcPr>
            <w:tcW w:type="dxa" w:w="4985"/>
            <w:gridSpan w:val="5"/>
          </w:tcPr>
          <w:p>
            <w:pPr>
              <w:spacing w:before="20" w:after="20"/>
            </w:pPr>
            <w:r>
              <w:rPr>
                <w:rFonts w:ascii="Aptos" w:hAnsi="Aptos"/>
                <w:b w:val="0"/>
                <w:i w:val="0"/>
                <w:sz w:val="22"/>
              </w:rPr>
              <w:t>Zajęcia z bezpośrednim udziałem nauczyciela</w:t>
            </w:r>
          </w:p>
        </w:tc>
        <w:tc>
          <w:tcPr>
            <w:tcW w:type="dxa" w:w="2991"/>
            <w:gridSpan w:val="3"/>
          </w:tcPr>
          <w:p>
            <w:pPr>
              <w:spacing w:before="20" w:after="20"/>
            </w:pPr>
            <w:r>
              <w:rPr>
                <w:rFonts w:ascii="Aptos" w:hAnsi="Aptos"/>
                <w:b w:val="0"/>
                <w:i w:val="0"/>
                <w:sz w:val="22"/>
              </w:rPr>
              <w:t>30</w:t>
            </w:r>
          </w:p>
        </w:tc>
        <w:tc>
          <w:tcPr>
            <w:tcW w:type="dxa" w:w="1994"/>
            <w:gridSpan w:val="2"/>
          </w:tcPr>
          <w:p>
            <w:pPr>
              <w:spacing w:before="20" w:after="20"/>
            </w:pPr>
            <w:r>
              <w:rPr>
                <w:rFonts w:ascii="Aptos" w:hAnsi="Aptos"/>
                <w:b w:val="0"/>
                <w:i w:val="0"/>
                <w:sz w:val="22"/>
              </w:rPr>
              <w:t>1.2</w:t>
            </w:r>
          </w:p>
        </w:tc>
      </w:tr>
      <w:tr>
        <w:tc>
          <w:tcPr>
            <w:tcW w:type="dxa" w:w="4985"/>
            <w:gridSpan w:val="5"/>
          </w:tcPr>
          <w:p>
            <w:pPr>
              <w:spacing w:before="20" w:after="20"/>
            </w:pPr>
            <w:r>
              <w:rPr>
                <w:rFonts w:ascii="Aptos" w:hAnsi="Aptos"/>
                <w:b w:val="0"/>
                <w:i w:val="0"/>
                <w:sz w:val="22"/>
              </w:rPr>
              <w:t>Samodzielna praca studenta</w:t>
            </w:r>
          </w:p>
        </w:tc>
        <w:tc>
          <w:tcPr>
            <w:tcW w:type="dxa" w:w="2991"/>
            <w:gridSpan w:val="3"/>
          </w:tcPr>
          <w:p>
            <w:pPr>
              <w:spacing w:before="20" w:after="20"/>
            </w:pPr>
            <w:r>
              <w:rPr>
                <w:rFonts w:ascii="Aptos" w:hAnsi="Aptos"/>
                <w:b w:val="0"/>
                <w:i w:val="0"/>
                <w:sz w:val="22"/>
              </w:rPr>
              <w:t>20</w:t>
            </w:r>
          </w:p>
        </w:tc>
        <w:tc>
          <w:tcPr>
            <w:tcW w:type="dxa" w:w="1994"/>
            <w:gridSpan w:val="2"/>
          </w:tcPr>
          <w:p>
            <w:pPr>
              <w:spacing w:before="20" w:after="20"/>
            </w:pPr>
            <w:r>
              <w:rPr>
                <w:rFonts w:ascii="Aptos" w:hAnsi="Aptos"/>
                <w:b w:val="0"/>
                <w:i w:val="0"/>
                <w:sz w:val="22"/>
              </w:rPr>
              <w:t>0.8</w:t>
            </w:r>
          </w:p>
        </w:tc>
      </w:tr>
      <w:tr>
        <w:tc>
          <w:tcPr>
            <w:tcW w:type="dxa" w:w="4985"/>
            <w:gridSpan w:val="5"/>
            <w:shd w:val="clear" w:color="auto" w:fill="D9D9D9"/>
          </w:tcPr>
          <w:p>
            <w:pPr>
              <w:spacing w:before="20" w:after="20"/>
            </w:pPr>
            <w:r>
              <w:rPr>
                <w:rFonts w:ascii="Aptos" w:hAnsi="Aptos"/>
                <w:b/>
                <w:i w:val="0"/>
                <w:sz w:val="16"/>
              </w:rPr>
              <w:t>Opis samodzielnej pracy studenta</w:t>
            </w:r>
          </w:p>
        </w:tc>
        <w:tc>
          <w:tcPr>
            <w:tcW w:type="dxa" w:w="4985"/>
            <w:gridSpan w:val="5"/>
          </w:tcPr>
          <w:p>
            <w:pPr>
              <w:spacing w:before="20" w:after="20"/>
            </w:pPr>
            <w:r>
              <w:rPr>
                <w:rFonts w:ascii="Aptos" w:hAnsi="Aptos"/>
                <w:b w:val="0"/>
                <w:i w:val="0"/>
                <w:sz w:val="22"/>
              </w:rPr>
              <w:t>Lektura wskazanych materiałów dotyczących kompetencji liderskich; refleksja i analiza własnych doświadczeń; przygotowanie do aktywnego udziału w konwersatorium.</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pPr>
              <w:spacing w:before="20" w:after="20"/>
            </w:pPr>
            <w:r>
              <w:rPr>
                <w:rFonts w:ascii="Aptos" w:hAnsi="Aptos"/>
                <w:b/>
                <w:sz w:val="22"/>
              </w:rPr>
              <w:t>Wykład:</w:t>
            </w:r>
          </w:p>
          <w:p>
            <w:pPr>
              <w:spacing w:before="20" w:after="20"/>
            </w:pPr>
            <w:r>
              <w:rPr>
                <w:rFonts w:ascii="Aptos" w:hAnsi="Aptos"/>
                <w:b w:val="0"/>
                <w:sz w:val="22"/>
              </w:rPr>
              <w:t>• wykład konwersatoryjny (z elementami dyskusji)</w:t>
            </w:r>
          </w:p>
          <w:p>
            <w:pPr>
              <w:spacing w:before="20" w:after="20"/>
            </w:pPr>
            <w:r>
              <w:rPr>
                <w:rFonts w:ascii="Aptos" w:hAnsi="Aptos"/>
                <w:b w:val="0"/>
                <w:sz w:val="22"/>
              </w:rPr>
              <w:t>• warsztaty</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sz w:val="22"/>
              </w:rPr>
              <w:t>1. ocena pracy podczas ćwiczenia</w:t>
            </w:r>
          </w:p>
        </w:tc>
        <w:tc>
          <w:tcPr>
            <w:tcW w:type="dxa" w:w="4986"/>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r>
          </w:p>
        </w:tc>
        <w:tc>
          <w:tcPr>
            <w:tcW w:type="dxa" w:w="4986"/>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Przygotowanie studentów do pełnienia ról liderskich w zespołach technicznych (Tech Lead, Team Leader, Scrum Master). Przedmiot kładzie nacisk na rozwój inteligencji emocjonalnej, umiejętność budowania efektywnych zespołów oraz zarządzanie procesami w dynamicznym środowisku IT. Student pozna techniki komunikacji, rozwiązywania konfliktów oraz metodyki wspierające samodzielność zespołów.</w:t>
            </w:r>
          </w:p>
          <w:p>
            <w:pPr>
              <w:spacing w:before="80" w:after="20"/>
            </w:pPr>
            <w:r>
              <w:rPr>
                <w:rFonts w:ascii="Aptos" w:hAnsi="Aptos"/>
                <w:b/>
                <w:sz w:val="22"/>
              </w:rPr>
              <w:t>Abstrakt po angielsku:</w:t>
            </w:r>
          </w:p>
          <w:p>
            <w:pPr>
              <w:spacing w:before="20" w:after="20"/>
            </w:pPr>
            <w:r>
              <w:rPr>
                <w:rFonts w:ascii="Aptos" w:hAnsi="Aptos"/>
                <w:i/>
                <w:sz w:val="22"/>
              </w:rPr>
              <w:t>Preparing students to take on leadership roles in technical teams (Tech Lead, Team Leader, Scrum Master). The course places emphasis on the development of emotional intelligence, the ability to build effective teams, and process management in a dynamic IT environment. Students learn communication techniques, conflict resolution, and methodologies supporting team autonomy.</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680"/>
        <w:gridCol w:w="4536"/>
        <w:gridCol w:w="4252"/>
      </w:tblGrid>
      <w:tr>
        <w:tc>
          <w:tcPr>
            <w:tcW w:type="dxa" w:w="9468"/>
            <w:gridSpan w:val="3"/>
            <w:shd w:val="clear" w:color="auto" w:fill="D9D9D9"/>
          </w:tcPr>
          <w:p>
            <w:pPr>
              <w:spacing w:before="20" w:after="20"/>
            </w:pPr>
            <w:r>
              <w:rPr>
                <w:rFonts w:ascii="Aptos" w:hAnsi="Aptos"/>
                <w:b/>
                <w:i w:val="0"/>
                <w:sz w:val="22"/>
              </w:rPr>
              <w:t>15.  Treści programowe poszczególnych zajęć:</w:t>
            </w:r>
          </w:p>
        </w:tc>
      </w:tr>
      <w:tr>
        <w:tc>
          <w:tcPr>
            <w:tcW w:type="dxa" w:w="680"/>
            <w:shd w:val="clear" w:color="auto" w:fill="D9D9D9"/>
          </w:tcPr>
          <w:p>
            <w:pPr>
              <w:spacing w:before="20" w:after="20"/>
            </w:pPr>
            <w:r>
              <w:rPr>
                <w:rFonts w:ascii="Aptos" w:hAnsi="Aptos"/>
                <w:b/>
                <w:i w:val="0"/>
                <w:sz w:val="16"/>
              </w:rPr>
              <w:t>Nr zajęć</w:t>
            </w:r>
          </w:p>
        </w:tc>
        <w:tc>
          <w:tcPr>
            <w:tcW w:type="dxa" w:w="4536"/>
            <w:shd w:val="clear" w:color="auto" w:fill="D9D9D9"/>
          </w:tcPr>
          <w:p>
            <w:pPr>
              <w:spacing w:before="20" w:after="20"/>
            </w:pPr>
            <w:r>
              <w:rPr>
                <w:rFonts w:ascii="Aptos" w:hAnsi="Aptos"/>
                <w:b/>
                <w:i w:val="0"/>
                <w:sz w:val="16"/>
              </w:rPr>
              <w:t>Wykład</w:t>
            </w:r>
          </w:p>
        </w:tc>
        <w:tc>
          <w:tcPr>
            <w:tcW w:type="dxa" w:w="4252"/>
            <w:shd w:val="clear" w:color="auto" w:fill="D9D9D9"/>
          </w:tcPr>
          <w:p>
            <w:pPr>
              <w:spacing w:before="20" w:after="20"/>
            </w:pPr>
            <w:r>
              <w:rPr>
                <w:rFonts w:ascii="Aptos" w:hAnsi="Aptos"/>
                <w:b/>
                <w:i w:val="0"/>
                <w:sz w:val="16"/>
              </w:rPr>
              <w:t>Ćwiczenia / Laboratorium / Pracownia</w:t>
            </w:r>
          </w:p>
        </w:tc>
      </w:tr>
      <w:tr>
        <w:tc>
          <w:tcPr>
            <w:tcW w:type="dxa" w:w="680"/>
          </w:tcPr>
          <w:p>
            <w:pPr>
              <w:spacing w:before="20" w:after="20"/>
            </w:pPr>
            <w:r>
              <w:rPr>
                <w:rFonts w:ascii="Aptos" w:hAnsi="Aptos"/>
                <w:b w:val="0"/>
                <w:i w:val="0"/>
                <w:sz w:val="22"/>
              </w:rPr>
              <w:t>1.</w:t>
            </w:r>
          </w:p>
        </w:tc>
        <w:tc>
          <w:tcPr>
            <w:tcW w:type="dxa" w:w="4536"/>
          </w:tcPr>
          <w:p>
            <w:pPr>
              <w:spacing w:before="20" w:after="20"/>
            </w:pPr>
            <w:r>
              <w:rPr>
                <w:rFonts w:ascii="Aptos" w:hAnsi="Aptos"/>
                <w:b w:val="0"/>
                <w:i w:val="0"/>
                <w:sz w:val="22"/>
              </w:rPr>
              <w:t>Fundamenty Przywództwa. Ewolucja lidera – od dowodzenia i kontroli do Servant Leadership.</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w:t>
            </w:r>
          </w:p>
        </w:tc>
        <w:tc>
          <w:tcPr>
            <w:tcW w:type="dxa" w:w="4536"/>
          </w:tcPr>
          <w:p>
            <w:pPr>
              <w:spacing w:before="20" w:after="20"/>
            </w:pPr>
            <w:r>
              <w:rPr>
                <w:rFonts w:ascii="Aptos" w:hAnsi="Aptos"/>
                <w:b w:val="0"/>
                <w:i w:val="0"/>
                <w:sz w:val="22"/>
              </w:rPr>
              <w:t>Budowanie Zespołu. Rekrutacja "culture fit", onboarding i etapy formowania się zespołu.</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3.</w:t>
            </w:r>
          </w:p>
        </w:tc>
        <w:tc>
          <w:tcPr>
            <w:tcW w:type="dxa" w:w="4536"/>
          </w:tcPr>
          <w:p>
            <w:pPr>
              <w:spacing w:before="20" w:after="20"/>
            </w:pPr>
            <w:r>
              <w:rPr>
                <w:rFonts w:ascii="Aptos" w:hAnsi="Aptos"/>
                <w:b w:val="0"/>
                <w:i w:val="0"/>
                <w:sz w:val="22"/>
              </w:rPr>
              <w:t>Komunikacja Lidera. Asertywność, radykalna szczerość (Radical Candor) i komunikacja w sytuacjach kryzysowych.</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4.</w:t>
            </w:r>
          </w:p>
        </w:tc>
        <w:tc>
          <w:tcPr>
            <w:tcW w:type="dxa" w:w="4536"/>
          </w:tcPr>
          <w:p>
            <w:pPr>
              <w:spacing w:before="20" w:after="20"/>
            </w:pPr>
            <w:r>
              <w:rPr>
                <w:rFonts w:ascii="Aptos" w:hAnsi="Aptos"/>
                <w:b w:val="0"/>
                <w:i w:val="0"/>
                <w:sz w:val="22"/>
              </w:rPr>
              <w:t>Motywacja i Zarządzanie Wydajnością. Co motywuje programistów? Autonomia, mistrzostwo i cel (Model Pinka).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5.</w:t>
            </w:r>
          </w:p>
        </w:tc>
        <w:tc>
          <w:tcPr>
            <w:tcW w:type="dxa" w:w="4536"/>
          </w:tcPr>
          <w:p>
            <w:pPr>
              <w:spacing w:before="20" w:after="20"/>
            </w:pPr>
            <w:r>
              <w:rPr>
                <w:rFonts w:ascii="Aptos" w:hAnsi="Aptos"/>
                <w:b w:val="0"/>
                <w:i w:val="0"/>
                <w:sz w:val="22"/>
              </w:rPr>
              <w:t>Facylitacja i Podejmowanie Decyzji. Techniki wspólnego rozwiązywania problemów i delegowanie uprawnień (Management 3.0).</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6.</w:t>
            </w:r>
          </w:p>
        </w:tc>
        <w:tc>
          <w:tcPr>
            <w:tcW w:type="dxa" w:w="4536"/>
          </w:tcPr>
          <w:p>
            <w:pPr>
              <w:spacing w:before="20" w:after="20"/>
            </w:pPr>
            <w:r>
              <w:rPr>
                <w:rFonts w:ascii="Aptos" w:hAnsi="Aptos"/>
                <w:b w:val="0"/>
                <w:i w:val="0"/>
                <w:sz w:val="22"/>
              </w:rPr>
              <w:t>Inteligencja Emocjonalna. Zarządzanie stresem własnym i zespołu, empatia w pracy zdalnej.</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7.</w:t>
            </w:r>
          </w:p>
        </w:tc>
        <w:tc>
          <w:tcPr>
            <w:tcW w:type="dxa" w:w="4536"/>
          </w:tcPr>
          <w:p>
            <w:pPr>
              <w:spacing w:before="20" w:after="20"/>
            </w:pPr>
            <w:r>
              <w:rPr>
                <w:rFonts w:ascii="Aptos" w:hAnsi="Aptos"/>
                <w:b w:val="0"/>
                <w:i w:val="0"/>
                <w:sz w:val="22"/>
              </w:rPr>
              <w:t>Personal Branding Lidera. Budowanie autorytetu technicznego i osobistego wewnątrz i na zewnątrz organizacji.</w:t>
            </w:r>
          </w:p>
        </w:tc>
        <w:tc>
          <w:tcPr>
            <w:tcW w:type="dxa" w:w="425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Grant A., Give and Take: Why Helping Others Drives Our Success, Penguin Books 2014</w:t>
            </w:r>
          </w:p>
          <w:p>
            <w:pPr>
              <w:spacing w:before="20" w:after="20"/>
            </w:pPr>
            <w:r>
              <w:rPr>
                <w:rFonts w:ascii="Aptos" w:hAnsi="Aptos"/>
                <w:sz w:val="22"/>
              </w:rPr>
              <w:t>2. Sinek S., Leaders eat last: why some teams pull together and others don't, Penguin Books Ltd (UK) 2019</w:t>
            </w:r>
          </w:p>
          <w:p>
            <w:pPr>
              <w:spacing w:before="20" w:after="20"/>
            </w:pPr>
            <w:r>
              <w:rPr>
                <w:rFonts w:ascii="Aptos" w:hAnsi="Aptos"/>
                <w:sz w:val="22"/>
              </w:rPr>
              <w:t>3. Catmull E., Creativity, Inc.: an inspiring look at how creativity can - and should - be harnessed for business success by the founder of Pixar, Transworld Publ. Ltd UK 2019</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Sinek S., Start With Why: 15th Anniversary Edition: How Great Leaders Inspire Everyone to Take Action, Penguin Books Ltd (UK) 2025</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zna różnice między zarządzaniem (management) a przywództwem (leadership) w kontekście inżynierii oprogramowania.</w:t>
            </w:r>
          </w:p>
        </w:tc>
        <w:tc>
          <w:tcPr>
            <w:tcW w:type="dxa" w:w="3324"/>
          </w:tcPr>
          <w:p>
            <w:pPr>
              <w:spacing w:before="20" w:after="20"/>
            </w:pPr>
            <w:r>
              <w:rPr>
                <w:rFonts w:ascii="Aptos" w:hAnsi="Aptos"/>
                <w:b w:val="0"/>
                <w:i w:val="0"/>
                <w:sz w:val="22"/>
              </w:rPr>
              <w:t>ocena pracy podczas ćwiczenia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rozumie psychologiczne aspekty dynamiki grupowej (model Tuckmana) oraz motywacji pracowników wiedzy.</w:t>
            </w:r>
          </w:p>
        </w:tc>
        <w:tc>
          <w:tcPr>
            <w:tcW w:type="dxa" w:w="3324"/>
          </w:tcPr>
          <w:p>
            <w:pPr>
              <w:spacing w:before="20" w:after="20"/>
            </w:pPr>
            <w:r>
              <w:rPr>
                <w:rFonts w:ascii="Aptos" w:hAnsi="Aptos"/>
                <w:b w:val="0"/>
                <w:i w:val="0"/>
                <w:sz w:val="22"/>
              </w:rPr>
              <w:t>ocena pracy podczas ćwiczenia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posiada wiedzę na temat różnych stylów przywództwa i potrafi dopasować je do dojrzałości zespołu.</w:t>
            </w:r>
          </w:p>
        </w:tc>
        <w:tc>
          <w:tcPr>
            <w:tcW w:type="dxa" w:w="3324"/>
          </w:tcPr>
          <w:p>
            <w:pPr>
              <w:spacing w:before="20" w:after="20"/>
            </w:pPr>
            <w:r>
              <w:rPr>
                <w:rFonts w:ascii="Aptos" w:hAnsi="Aptos"/>
                <w:b w:val="0"/>
                <w:i w:val="0"/>
                <w:sz w:val="22"/>
              </w:rPr>
              <w:t>ocena pracy podczas ćwiczenia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przeprowadzić skuteczną sesję informacji zwrotnej przy użyciu technik takich jak FUKO czy SBI.</w:t>
            </w:r>
          </w:p>
        </w:tc>
        <w:tc>
          <w:tcPr>
            <w:tcW w:type="dxa" w:w="3324"/>
          </w:tcPr>
          <w:p>
            <w:pPr>
              <w:spacing w:before="20" w:after="20"/>
            </w:pPr>
            <w:r>
              <w:rPr>
                <w:rFonts w:ascii="Aptos" w:hAnsi="Aptos"/>
                <w:b w:val="0"/>
                <w:i w:val="0"/>
                <w:sz w:val="22"/>
              </w:rPr>
              <w:t>ocena pracy podczas ćwiczenia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umie identyfikować źródła konfliktów w zespole i dobierać odpowiednie strategie ich rozwiązywania.</w:t>
            </w:r>
          </w:p>
        </w:tc>
        <w:tc>
          <w:tcPr>
            <w:tcW w:type="dxa" w:w="3324"/>
          </w:tcPr>
          <w:p>
            <w:pPr>
              <w:spacing w:before="20" w:after="20"/>
            </w:pPr>
            <w:r>
              <w:rPr>
                <w:rFonts w:ascii="Aptos" w:hAnsi="Aptos"/>
                <w:b w:val="0"/>
                <w:i w:val="0"/>
                <w:sz w:val="22"/>
              </w:rPr>
              <w:t>ocena pracy podczas ćwiczenia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moderować spotkania zespołowe, dbając o zaangażowanie wszystkich członków (facilitation).</w:t>
            </w:r>
          </w:p>
        </w:tc>
        <w:tc>
          <w:tcPr>
            <w:tcW w:type="dxa" w:w="3324"/>
          </w:tcPr>
          <w:p>
            <w:pPr>
              <w:spacing w:before="20" w:after="20"/>
            </w:pPr>
            <w:r>
              <w:rPr>
                <w:rFonts w:ascii="Aptos" w:hAnsi="Aptos"/>
                <w:b w:val="0"/>
                <w:i w:val="0"/>
                <w:sz w:val="22"/>
              </w:rPr>
              <w:t>ocena pracy podczas ćwiczenia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wykazuje postawę etyczną i odpowiedzialność za rozwój oraz dobrostan członków swojego zespołu.</w:t>
            </w:r>
          </w:p>
        </w:tc>
        <w:tc>
          <w:tcPr>
            <w:tcW w:type="dxa" w:w="3324"/>
          </w:tcPr>
          <w:p>
            <w:pPr>
              <w:spacing w:before="20" w:after="20"/>
            </w:pPr>
            <w:r>
              <w:rPr>
                <w:rFonts w:ascii="Aptos" w:hAnsi="Aptos"/>
                <w:b w:val="0"/>
                <w:i w:val="0"/>
                <w:sz w:val="22"/>
              </w:rPr>
              <w:t>ocena pracy podczas ćwiczenia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jest gotowy do pełnienia roli mentora i wspierania kultury dzielenia się wiedzą.</w:t>
            </w:r>
          </w:p>
        </w:tc>
        <w:tc>
          <w:tcPr>
            <w:tcW w:type="dxa" w:w="3324"/>
          </w:tcPr>
          <w:p>
            <w:pPr>
              <w:spacing w:before="20" w:after="20"/>
            </w:pPr>
            <w:r>
              <w:rPr>
                <w:rFonts w:ascii="Aptos" w:hAnsi="Aptos"/>
                <w:b w:val="0"/>
                <w:i w:val="0"/>
                <w:sz w:val="22"/>
              </w:rPr>
              <w:t>ocena pracy podczas ćwiczenia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