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"/>
        <w:tblW w:w="9229.0" w:type="dxa"/>
        <w:jc w:val="left"/>
        <w:tblInd w:w="-70.0" w:type="dxa"/>
        <w:tblBorders>
          <w:top w:color="585858" w:space="0" w:sz="4" w:val="single"/>
          <w:left w:color="585858" w:space="0" w:sz="4" w:val="single"/>
          <w:bottom w:color="585858" w:space="0" w:sz="4" w:val="single"/>
          <w:right w:color="585858" w:space="0" w:sz="4" w:val="single"/>
          <w:insideH w:color="585858" w:space="0" w:sz="4" w:val="single"/>
          <w:insideV w:color="585858" w:space="0" w:sz="4" w:val="single"/>
        </w:tblBorders>
        <w:tblLayout w:type="fixed"/>
        <w:tblLook w:val="0600"/>
      </w:tblPr>
      <w:tblGrid>
        <w:gridCol w:w="3189"/>
        <w:gridCol w:w="1276"/>
        <w:gridCol w:w="141"/>
        <w:gridCol w:w="1614"/>
        <w:gridCol w:w="104"/>
        <w:gridCol w:w="2905"/>
        <w:tblGridChange w:id="0">
          <w:tblGrid>
            <w:gridCol w:w="3189"/>
            <w:gridCol w:w="1276"/>
            <w:gridCol w:w="141"/>
            <w:gridCol w:w="1614"/>
            <w:gridCol w:w="104"/>
            <w:gridCol w:w="2905"/>
          </w:tblGrid>
        </w:tblGridChange>
      </w:tblGrid>
      <w:tr>
        <w:trPr>
          <w:cantSplit w:val="0"/>
          <w:trHeight w:val="538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Polsko-Japońska Akademia Technik Komputerowych Filia w Gdańsku</w:t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Kierunek: INFORMATYKA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praktyczny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Tryb studiów: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stacjonarny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Wersja z dnia: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15.02.2025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Nazwa przedmiotu:</w:t>
            </w:r>
          </w:p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Systemy wbudowane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Kod przedmiotu: SWB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Rok studiów: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Semestr studiów: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Przedmiot obligatoryjny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i liczba godzin zajęć: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Wykłady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Ćwiczenia/Lektorat/Seminarium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Laboratorium / Projekt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Odpowiedzialny za przedmiot:   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dr Paweł Syty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Liczba punktów ECTS 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dydaktycznych z udziałem prowadzącego: 60h /2,5 ECTS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przeznaczonych na pracę własną studenta: 40h/1,5 ECTS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Całkowita liczba godzin:100</w:t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dashed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Metody dydaktyczne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ind w:left="356" w:hanging="356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i sposób zaliczenia oraz podstawowe kryteria oceny lub wymagania egzaminacyjne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konwersatoryjny (z elementami dyskusji)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z prezentacją multimedialną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z prezentacją oprogramowania</w:t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 i ćwiczenia: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metoda projektów (projekt praktyczny)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rozwiązywanie zadań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studia przypadków z bazy studiów przypadków opracowanych przez firmy MŚP lub będące efektem staży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warsztaty</w:t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 przedmiotu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Sposób zaliczenia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Zaliczenie z oceną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Ćwiczenia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Zaliczenie z oceną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Nieoceniany</w:t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Kryteria oceny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Laboratorium i ćwiczenia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ind w:left="18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Ocena praktycznego zastosowania kwestii omawianych na wykładach. Studenci otrzymują zadania praktyczne do wykonania podczas zajęć (do zdobycia maks. 25 punktów, z gradacją 0.5 p.) oraz zadanie indywidualne (do zdobycia maks. 25 punktów) – w sumie 50 punktów. Zajęcia zalicza otrzymanie co najmniej 25 punktów.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Określenie przedmiotów wprowadzających wraz z wymogami wstępnymi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gridSpan w:val="3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Nazwa przedmiotu poprzedzającego</w:t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Wymagane zagadnienia/umiejętności niezbędne w realizacji danego przedmiotu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3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ind w:left="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Metody programowania</w:t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Umiejętność programowania obiektowego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3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ind w:left="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Elektronika</w:t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Umiejętność konstruowania prostych układów elektronicznych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Cel dydaktyczny przedmiotu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Celem przedmiotu jest zaznajomienie studentów z budową i podstawowymi metodami projektowania i programowania systemów wbudowanych (ang. embedded systems), głównie o opartych o mikrokontrolery, czyli specjalizowanych systemów informatycznych, odpowiadających za wykonywanie ściśle określonych zadań - zwykle związanych z monitorowaniem i sterowaniem. Omówione zostaną fizyczne podstawy funkcjonowania czujników (receptorów) i elementów wykonawczych (efektorów / aktuatorów), jako podstawowych składników tego typu systemów.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4" w:val="dashed"/>
              <w:right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Wykaz literatury: 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gridSpan w:val="6"/>
            <w:tcBorders>
              <w:top w:color="000000" w:space="0" w:sz="4" w:val="dash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podstawowa (wymagana do ostatecznego zaliczenia zajęć, zdania egzaminu wykorzystywana podczas zajęć oraz studiowana samodzielnie przez studenta):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 Gajek, Z. Juda, Czujniki. Mechatronika. Wydawnictwa Komunikacji i Łączności, 2021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 Peck, Raspberry Pi Zero W. Kontrolery, czujniki, sterowniki i gadżety. Helion, 2019</w:t>
              <w:br w:type="textWrapping"/>
              <w:t xml:space="preserve">W. Wrotek,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Arduino od podstaw. Helion, 2023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uzupełniająca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M. Duka,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Internet rzeczy. Podstawy programowania aplikacji i serwerów sieciowych w językach C/C++, MicroPython i Lua na urządzeniach IoT ESP8266, ESP32 i Arduino. Helion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left="7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Efekty kształcenia dla przedmiotu 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Wiedza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zna architektury systemów komputerowe (w tym mikrokontrolerowych) i rozumie zasady projektowania systemów cyfrowych, opartych o mikrokontrolery.</w:t>
            </w:r>
          </w:p>
          <w:p w:rsidR="00000000" w:rsidDel="00000000" w:rsidP="00000000" w:rsidRDefault="00000000" w:rsidRPr="00000000" w14:paraId="000000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zna i rozumie podstawowe metody projektowania i implementacji systemów wbudowanych</w:t>
            </w:r>
          </w:p>
          <w:p w:rsidR="00000000" w:rsidDel="00000000" w:rsidP="00000000" w:rsidRDefault="00000000" w:rsidRPr="00000000" w14:paraId="000000B1">
            <w:pPr>
              <w:ind w:left="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zna i rozumie zasady funkcjonowania wybranych składników systemu wbudowanego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ind w:left="-4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Umiejętności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zaprojektować proste układy cyfrowe sekwencyjne i kombinatoryczne oraz je oprogramować.</w:t>
            </w:r>
          </w:p>
          <w:p w:rsidR="00000000" w:rsidDel="00000000" w:rsidP="00000000" w:rsidRDefault="00000000" w:rsidRPr="00000000" w14:paraId="000000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 wybrać odpowiednie narzędzie do rozwiązania problemu zaistniałego w przedsiębiorstwie, a wymagającego użycia systemu wbudowanego</w:t>
            </w:r>
          </w:p>
          <w:p w:rsidR="00000000" w:rsidDel="00000000" w:rsidP="00000000" w:rsidRDefault="00000000" w:rsidRPr="00000000" w14:paraId="000000BF">
            <w:pPr>
              <w:ind w:left="9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zaprojektować, zbudować i oprogramować proste, specjalizowane systemy wbudowane oparte na wybranych mikrokontrolerach.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i w:val="1"/>
                <w:iCs w:val="1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Kompetencje społeczne: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ind w:left="92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Treści programowe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Zagadnienia ogólne </w:t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Definicja systemu wbudowanego, historia, zastosowania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Architektury mikroprocesorów i mikrokontrolerów. Rodziny mikrokontrolerów </w:t>
            </w:r>
          </w:p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Modelowanie systemów czasu rzeczywistego, system przerwań </w:t>
            </w:r>
          </w:p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Szyny komunikacyjne (SPI, I2C, 1-wire) </w:t>
            </w:r>
          </w:p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Systemy monitoringu domowego (Home Assistant, Domoticz itp.) </w:t>
            </w:r>
          </w:p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Wstęp do Internetu Rzeczy (IoT), protokoły komunikacyjne (ZigBee, Z-Wave, MQTT)</w:t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Przykładowe realizacje 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Omówienie wybranych platform sprzętowych 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Arduino (Uno, Mega, Nano, Pro Mini itp.) – platforma oparta na 8-bitowych mikrokontrolerach z rodziny Atmel AVR 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Raspberry Pi – rodzina 32/64-bitowych jednopłytkowych minikomputerów opartych na mikroprocesorach z rodziny ARM (11, Cortex) </w:t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ESP8266 / ESP32 – 32-bitowy mikrokontroler RISC z wbudowaną transmisją WiFi / Wifi+Bluetooth, przez co przydatny do połączenia systemu z siecią Internet </w:t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Raspberry Pi Pico – płytka mikrokontrolera, zbudowana na bazie chipu RP2040 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STM32 – rodzina 32-bitowych mikrokontrolerów z rodziny ARM Cortex </w:t>
            </w:r>
          </w:p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Omówienie wybranych języków programowania – w zakresie niezbędnym do programowania systemów wbudowanych </w:t>
            </w:r>
          </w:p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Pochodna języka C/C++ – programowanie Arduino / ESP8266 / ESP32 </w:t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C/C++ – programowanie STM32 </w:t>
            </w:r>
          </w:p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Python – skryptowy język ogólnego zastosowania, szczególnie wygodny w programowaniu dla Raspberry Pi, omówiony w kontekście wielowątkowości, sterowania zdalnymi urządzeniami i podstaw projektowania graficznego interfejsu użytkownika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MicroPython – wersja języka Python dla mikrokontrolerów – Raspberry Pi Pico</w:t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Omówienie zasad funkcjonowania, podłączenia itp. osprzętu pomocniczego (5.5h)</w:t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Czujniki / sensory: termometry, barometry, czujniki odległości, deszczu, ruchu, koloru, dźwięku, urządzenia GPS, kamery itp. 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Aktuatory / efektory / elementy wykonawcze: silniki, wyświetlacze LCD/LED/OLED itp.</w:t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Urządzenia do komunikacji: GSM, RFID/NFC itp.</w:t>
            </w:r>
          </w:p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Inne: zegary czasu rzeczywistego, konwertery napięć i poziomów logicznych itp.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Omówienie wybranych środowisk programistycznych i narzędzi </w:t>
            </w:r>
          </w:p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Arduino IDE – środowisko programistyczne dla Arduino i ESP8266, wraz z niezbędnymi bibliotekami </w:t>
            </w:r>
          </w:p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TinkerCAD – serwis WWW do modelowania i symulowania urządzeń wbudowanych </w:t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Fritzing – projektowanie obwodów i układów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Arduino Cloud – środowisko programistyczne w chmurze </w:t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ThingSpeak – serwisy WWW, umożliwiający zbieranie i prezentowanie danych pomiarowych 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288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5766"/>
      <w:gridCol w:w="3522"/>
      <w:tblGridChange w:id="0">
        <w:tblGrid>
          <w:gridCol w:w="5766"/>
          <w:gridCol w:w="352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3520745" cy="541067"/>
                <wp:effectExtent b="0" l="0" r="0" t="0"/>
                <wp:docPr descr="Obraz zawierający tekst&#10;&#10;Opis wygenerowany automatycznie" id="3" name="image1.png"/>
                <a:graphic>
                  <a:graphicData uri="http://schemas.openxmlformats.org/drawingml/2006/picture">
                    <pic:pic>
                      <pic:nvPicPr>
                        <pic:cNvPr descr="Obraz zawierający tekst&#10;&#10;Opis wygenerowany automatyczni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SYLABUS PRZEDMIOTU</w:t>
          </w:r>
        </w:p>
      </w:tc>
    </w:tr>
  </w:tbl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  <w:color w:val="000000"/>
      </w:rPr>
    </w:lvl>
    <w:lvl w:ilvl="1">
      <w:start w:val="1"/>
      <w:numFmt w:val="lowerLetter"/>
      <w:lvlText w:val="%2."/>
      <w:lvlJc w:val="left"/>
      <w:pPr>
        <w:ind w:left="1368" w:hanging="359.9999999999999"/>
      </w:pPr>
      <w:rPr/>
    </w:lvl>
    <w:lvl w:ilvl="2">
      <w:start w:val="1"/>
      <w:numFmt w:val="lowerRoman"/>
      <w:lvlText w:val="%3."/>
      <w:lvlJc w:val="right"/>
      <w:pPr>
        <w:ind w:left="2088" w:hanging="180"/>
      </w:pPr>
      <w:rPr/>
    </w:lvl>
    <w:lvl w:ilvl="3">
      <w:start w:val="1"/>
      <w:numFmt w:val="decimal"/>
      <w:lvlText w:val="%4."/>
      <w:lvlJc w:val="left"/>
      <w:pPr>
        <w:ind w:left="2808" w:hanging="360"/>
      </w:pPr>
      <w:rPr/>
    </w:lvl>
    <w:lvl w:ilvl="4">
      <w:start w:val="1"/>
      <w:numFmt w:val="lowerLetter"/>
      <w:lvlText w:val="%5."/>
      <w:lvlJc w:val="left"/>
      <w:pPr>
        <w:ind w:left="3528" w:hanging="360"/>
      </w:pPr>
      <w:rPr/>
    </w:lvl>
    <w:lvl w:ilvl="5">
      <w:start w:val="1"/>
      <w:numFmt w:val="lowerRoman"/>
      <w:lvlText w:val="%6."/>
      <w:lvlJc w:val="right"/>
      <w:pPr>
        <w:ind w:left="4248" w:hanging="180"/>
      </w:pPr>
      <w:rPr/>
    </w:lvl>
    <w:lvl w:ilvl="6">
      <w:start w:val="1"/>
      <w:numFmt w:val="decimal"/>
      <w:lvlText w:val="%7."/>
      <w:lvlJc w:val="left"/>
      <w:pPr>
        <w:ind w:left="4968" w:hanging="360"/>
      </w:pPr>
      <w:rPr/>
    </w:lvl>
    <w:lvl w:ilvl="7">
      <w:start w:val="1"/>
      <w:numFmt w:val="lowerLetter"/>
      <w:lvlText w:val="%8."/>
      <w:lvlJc w:val="left"/>
      <w:pPr>
        <w:ind w:left="5688" w:hanging="360"/>
      </w:pPr>
      <w:rPr/>
    </w:lvl>
    <w:lvl w:ilvl="8">
      <w:start w:val="1"/>
      <w:numFmt w:val="lowerRoman"/>
      <w:lvlText w:val="%9."/>
      <w:lvlJc w:val="right"/>
      <w:pPr>
        <w:ind w:left="6408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Akapitzlist">
    <w:name w:val="List Paragraph"/>
    <w:basedOn w:val="Normalny"/>
    <w:uiPriority w:val="34"/>
    <w:qFormat w:val="1"/>
    <w:rsid w:val="00685975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F26CA2"/>
    <w:rPr>
      <w:color w:val="0000ff" w:themeColor="hyperlink"/>
      <w:u w:val="single"/>
    </w:rPr>
  </w:style>
  <w:style w:type="character" w:styleId="Nierozpoznanawzmianka1" w:customStyle="1">
    <w:name w:val="Nierozpoznana wzmianka1"/>
    <w:basedOn w:val="Domylnaczcionkaakapitu"/>
    <w:uiPriority w:val="99"/>
    <w:semiHidden w:val="1"/>
    <w:unhideWhenUsed w:val="1"/>
    <w:rsid w:val="00045DF4"/>
    <w:rPr>
      <w:color w:val="808080"/>
      <w:shd w:color="auto" w:fill="e6e6e6" w:val="clear"/>
    </w:rPr>
  </w:style>
  <w:style w:type="paragraph" w:styleId="Tekstdymka">
    <w:name w:val="Balloon Text"/>
    <w:basedOn w:val="Normalny"/>
    <w:link w:val="TekstdymkaZnak"/>
    <w:semiHidden w:val="1"/>
    <w:unhideWhenUsed w:val="1"/>
    <w:rsid w:val="00257853"/>
    <w:rPr>
      <w:rFonts w:ascii="Segoe UI" w:cs="Segoe UI" w:hAnsi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 w:val="1"/>
    <w:rsid w:val="00257853"/>
    <w:rPr>
      <w:rFonts w:ascii="Segoe UI" w:cs="Segoe UI" w:eastAsia="Times New Roman" w:hAnsi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 w:val="1"/>
    <w:rsid w:val="00685E4A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rsid w:val="00685E4A"/>
    <w:rPr>
      <w:rFonts w:ascii="Times New Roman" w:cs="Times New Roman" w:eastAsia="Times New Roman" w:hAnsi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 w:val="1"/>
    <w:rsid w:val="00685E4A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685E4A"/>
    <w:rPr>
      <w:rFonts w:ascii="Times New Roman" w:cs="Times New Roman" w:eastAsia="Times New Roman" w:hAnsi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Odwoaniedokomentarza">
    <w:name w:val="annotation reference"/>
    <w:basedOn w:val="Domylnaczcionkaakapitu"/>
    <w:uiPriority w:val="99"/>
    <w:semiHidden w:val="1"/>
    <w:unhideWhenUsed w:val="1"/>
    <w:rsid w:val="00A771C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 w:val="1"/>
    <w:rsid w:val="00A771C2"/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rsid w:val="00A771C2"/>
    <w:rPr>
      <w:rFonts w:ascii="Times New Roman" w:cs="Times New Roman" w:eastAsia="Times New Roman" w:hAnsi="Times New Roman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 w:val="1"/>
    <w:unhideWhenUsed w:val="1"/>
    <w:rsid w:val="00A771C2"/>
    <w:rPr>
      <w:b w:val="1"/>
      <w:bCs w:val="1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 w:val="1"/>
    <w:rsid w:val="00A771C2"/>
    <w:rPr>
      <w:rFonts w:ascii="Times New Roman" w:cs="Times New Roman" w:eastAsia="Times New Roman" w:hAnsi="Times New Roman"/>
      <w:b w:val="1"/>
      <w:bCs w:val="1"/>
      <w:sz w:val="20"/>
      <w:szCs w:val="20"/>
      <w:lang w:eastAsia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2J67EwugWW17blpOQ3NYVIyXjA==">CgMxLjA4AHIhMXZmUE5SYlQ3bXA4NE1vSnYweDNDZDlCYUxHcTBmSjg5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2022-05-13T08:42:00Z</dcterms:created>
  <dc:creator>BM</dc:creator>
</cp:coreProperties>
</file>