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  <w:jc w:val="center"/>
      </w:pPr>
      <w:r>
        <w:drawing>
          <wp:inline xmlns:a="http://schemas.openxmlformats.org/drawingml/2006/main" xmlns:pic="http://schemas.openxmlformats.org/drawingml/2006/picture">
            <wp:extent cx="5760000" cy="8710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71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323232"/>
          <w:sz w:val="28"/>
        </w:rPr>
        <w:t>Polsko-Japońska Akademia Technik Komputerowych</w:t>
      </w:r>
    </w:p>
    <w:p>
      <w:pPr>
        <w:spacing w:after="600"/>
        <w:jc w:val="center"/>
      </w:pPr>
      <w:r>
        <w:rPr>
          <w:rFonts w:ascii="Calibri" w:hAnsi="Calibri"/>
          <w:b w:val="0"/>
          <w:i w:val="0"/>
          <w:color w:val="505050"/>
          <w:sz w:val="24"/>
        </w:rPr>
        <w:t>Filia w Gdańsku</w:t>
      </w:r>
    </w:p>
    <w:p>
      <w:pPr>
        <w:spacing w:before="200" w:after="160"/>
        <w:jc w:val="center"/>
      </w:pPr>
      <w:r>
        <w:rPr>
          <w:rFonts w:ascii="Calibri" w:hAnsi="Calibri"/>
          <w:b/>
          <w:i w:val="0"/>
          <w:color w:val="B40000"/>
          <w:sz w:val="40"/>
        </w:rPr>
        <w:t>ZESTAWIENIE ZMIAN W PROGRAMIE STUDIÓW</w:t>
      </w:r>
    </w:p>
    <w:p>
      <w:pPr>
        <w:spacing w:after="600"/>
        <w:jc w:val="center"/>
      </w:pPr>
      <w:r>
        <w:rPr>
          <w:rFonts w:ascii="Calibri" w:hAnsi="Calibri"/>
          <w:b w:val="0"/>
          <w:i w:val="0"/>
          <w:color w:val="505050"/>
          <w:sz w:val="26"/>
        </w:rPr>
        <w:t>Rok akademicki 2026/2027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0F0F0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i w:val="0"/>
                <w:color w:val="323232"/>
                <w:sz w:val="20"/>
              </w:rPr>
              <w:t>Tryb studiów</w:t>
            </w:r>
          </w:p>
        </w:tc>
        <w:tc>
          <w:tcPr>
            <w:tcW w:type="dxa" w:w="6803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Studia stacjonarne oraz niestacjonarne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i w:val="0"/>
                <w:color w:val="323232"/>
                <w:sz w:val="20"/>
              </w:rPr>
              <w:t>Zakres opracowania</w:t>
            </w:r>
          </w:p>
        </w:tc>
        <w:tc>
          <w:tcPr>
            <w:tcW w:type="dxa" w:w="6803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Zmiany godzinowe, przesunięcia przedmiotów między semestrami, nowe i usunięte przedmioty, zmiany w specjalizacjach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i w:val="0"/>
                <w:color w:val="323232"/>
                <w:sz w:val="20"/>
              </w:rPr>
              <w:t>Program studiów online</w:t>
            </w:r>
          </w:p>
        </w:tc>
        <w:tc>
          <w:tcPr>
            <w:tcW w:type="dxa" w:w="6803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i w:val="0"/>
                <w:color w:val="B40000"/>
                <w:sz w:val="22"/>
              </w:rPr>
              <w:t>https://pjmpr.github.io/GD_WI_PRG_26-27/</w:t>
            </w:r>
          </w:p>
        </w:tc>
      </w:tr>
    </w:tbl>
    <w:p>
      <w:pPr>
        <w:spacing w:before="320"/>
        <w:jc w:val="center"/>
      </w:pPr>
      <w:r>
        <w:rPr>
          <w:rFonts w:ascii="Calibri" w:hAnsi="Calibri"/>
          <w:b w:val="0"/>
          <w:i w:val="0"/>
          <w:color w:val="505050"/>
          <w:sz w:val="20"/>
        </w:rPr>
        <w:t>Gdańsk, 2026</w:t>
      </w:r>
    </w:p>
    <w:p>
      <w:r>
        <w:br w:type="page"/>
      </w:r>
    </w:p>
    <w:p>
      <w:pPr>
        <w:spacing w:before="280" w:after="120"/>
        <w:pBdr>
          <w:bottom w:val="single" w:sz="6" w:space="1" w:color="B40000"/>
        </w:pBdr>
      </w:pPr>
      <w:r>
        <w:rPr>
          <w:rFonts w:ascii="Calibri" w:hAnsi="Calibri"/>
          <w:b/>
          <w:i w:val="0"/>
          <w:color w:val="B40000"/>
          <w:sz w:val="28"/>
        </w:rPr>
        <w:t>1.  Zmiany w programie studiów stacjonarnych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B40000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701"/>
            <w:shd w:val="clear" w:color="auto" w:fill="B40000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Dotychczas</w:t>
            </w:r>
          </w:p>
        </w:tc>
        <w:tc>
          <w:tcPr>
            <w:tcW w:type="dxa" w:w="1701"/>
            <w:shd w:val="clear" w:color="auto" w:fill="B40000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Obecnie</w:t>
            </w:r>
          </w:p>
        </w:tc>
        <w:tc>
          <w:tcPr>
            <w:tcW w:type="dxa" w:w="3402"/>
            <w:shd w:val="clear" w:color="auto" w:fill="B40000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Uwagi</w:t>
            </w:r>
          </w:p>
        </w:tc>
      </w:tr>
      <w:tr>
        <w:tc>
          <w:tcPr>
            <w:tcW w:type="dxa" w:w="255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Godziny dydaktyczne</w:t>
            </w:r>
          </w:p>
        </w:tc>
        <w:tc>
          <w:tcPr>
            <w:tcW w:type="dxa" w:w="170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2715 godz.</w:t>
            </w:r>
          </w:p>
        </w:tc>
        <w:tc>
          <w:tcPr>
            <w:tcW w:type="dxa" w:w="170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2710 godz.</w:t>
            </w:r>
          </w:p>
        </w:tc>
        <w:tc>
          <w:tcPr>
            <w:tcW w:type="dxa" w:w="3402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Zmiana o −5 godz.</w:t>
            </w:r>
          </w:p>
        </w:tc>
      </w:tr>
      <w:tr>
        <w:tc>
          <w:tcPr>
            <w:tcW w:type="dxa" w:w="255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Godziny BHP</w:t>
            </w:r>
          </w:p>
        </w:tc>
        <w:tc>
          <w:tcPr>
            <w:tcW w:type="dxa" w:w="170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0 godz.</w:t>
            </w:r>
          </w:p>
        </w:tc>
        <w:tc>
          <w:tcPr>
            <w:tcW w:type="dxa" w:w="170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4 godz.</w:t>
            </w:r>
          </w:p>
        </w:tc>
        <w:tc>
          <w:tcPr>
            <w:tcW w:type="dxa" w:w="3402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Przeniesienie z puli dydaktycznej</w:t>
            </w:r>
          </w:p>
        </w:tc>
      </w:tr>
      <w:tr>
        <w:tc>
          <w:tcPr>
            <w:tcW w:type="dxa" w:w="255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Suma łączna</w:t>
            </w:r>
          </w:p>
        </w:tc>
        <w:tc>
          <w:tcPr>
            <w:tcW w:type="dxa" w:w="170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2715 godz.</w:t>
            </w:r>
          </w:p>
        </w:tc>
        <w:tc>
          <w:tcPr>
            <w:tcW w:type="dxa" w:w="170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2714 godz.</w:t>
            </w:r>
          </w:p>
        </w:tc>
        <w:tc>
          <w:tcPr>
            <w:tcW w:type="dxa" w:w="3402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Zmiana o −1 godz.</w:t>
            </w:r>
          </w:p>
        </w:tc>
      </w:tr>
      <w:tr>
        <w:tc>
          <w:tcPr>
            <w:tcW w:type="dxa" w:w="255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Efekty uczenia się</w:t>
            </w:r>
          </w:p>
        </w:tc>
        <w:tc>
          <w:tcPr>
            <w:tcW w:type="dxa" w:w="170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—</w:t>
            </w:r>
          </w:p>
        </w:tc>
        <w:tc>
          <w:tcPr>
            <w:tcW w:type="dxa" w:w="170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—</w:t>
            </w:r>
          </w:p>
        </w:tc>
        <w:tc>
          <w:tcPr>
            <w:tcW w:type="dxa" w:w="3402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Efekty uczenia się nie uległy zmianie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color w:val="323232"/>
          <w:sz w:val="24"/>
        </w:rPr>
        <w:t>1.1.  Przeniesienia przedmiotów pomiędzy semestrami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B40000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Przedmiot</w:t>
            </w:r>
          </w:p>
        </w:tc>
        <w:tc>
          <w:tcPr>
            <w:tcW w:type="dxa" w:w="1247"/>
            <w:shd w:val="clear" w:color="auto" w:fill="B40000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Było</w:t>
              <w:br/>
              <w:t>(semestr)</w:t>
            </w:r>
          </w:p>
        </w:tc>
        <w:tc>
          <w:tcPr>
            <w:tcW w:type="dxa" w:w="1247"/>
            <w:shd w:val="clear" w:color="auto" w:fill="B40000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Jest</w:t>
              <w:br/>
              <w:t>(semestr)</w:t>
            </w:r>
          </w:p>
        </w:tc>
        <w:tc>
          <w:tcPr>
            <w:tcW w:type="dxa" w:w="3742"/>
            <w:shd w:val="clear" w:color="auto" w:fill="B40000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Uzasadnienie zmiany</w:t>
            </w:r>
          </w:p>
        </w:tc>
      </w:tr>
      <w:tr>
        <w:tc>
          <w:tcPr>
            <w:tcW w:type="dxa" w:w="3118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Analiza matematyczna</w:t>
            </w:r>
          </w:p>
        </w:tc>
        <w:tc>
          <w:tcPr>
            <w:tcW w:type="dxa" w:w="1247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2</w:t>
            </w:r>
          </w:p>
        </w:tc>
        <w:tc>
          <w:tcPr>
            <w:tcW w:type="dxa" w:w="1247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1</w:t>
            </w:r>
          </w:p>
        </w:tc>
        <w:tc>
          <w:tcPr>
            <w:tcW w:type="dxa" w:w="3742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Zmiana wynikająca z zaleceń PKA.</w:t>
            </w:r>
          </w:p>
        </w:tc>
      </w:tr>
      <w:tr>
        <w:tc>
          <w:tcPr>
            <w:tcW w:type="dxa" w:w="3118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Algebra liniowa z geometrią</w:t>
            </w:r>
          </w:p>
        </w:tc>
        <w:tc>
          <w:tcPr>
            <w:tcW w:type="dxa" w:w="1247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1</w:t>
            </w:r>
          </w:p>
        </w:tc>
        <w:tc>
          <w:tcPr>
            <w:tcW w:type="dxa" w:w="1247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2</w:t>
            </w:r>
          </w:p>
        </w:tc>
        <w:tc>
          <w:tcPr>
            <w:tcW w:type="dxa" w:w="3742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Zmiana wynikająca z zaleceń PKA.</w:t>
            </w:r>
          </w:p>
        </w:tc>
      </w:tr>
      <w:tr>
        <w:tc>
          <w:tcPr>
            <w:tcW w:type="dxa" w:w="3118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Matematyka dyskretna</w:t>
            </w:r>
          </w:p>
        </w:tc>
        <w:tc>
          <w:tcPr>
            <w:tcW w:type="dxa" w:w="1247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1</w:t>
            </w:r>
          </w:p>
        </w:tc>
        <w:tc>
          <w:tcPr>
            <w:tcW w:type="dxa" w:w="1247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2</w:t>
            </w:r>
          </w:p>
        </w:tc>
        <w:tc>
          <w:tcPr>
            <w:tcW w:type="dxa" w:w="3742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Zmiana wynikająca z zaleceń PKA.</w:t>
            </w:r>
          </w:p>
        </w:tc>
      </w:tr>
      <w:tr>
        <w:tc>
          <w:tcPr>
            <w:tcW w:type="dxa" w:w="3118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Historia i kultura Japonii</w:t>
            </w:r>
          </w:p>
        </w:tc>
        <w:tc>
          <w:tcPr>
            <w:tcW w:type="dxa" w:w="1247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3</w:t>
            </w:r>
          </w:p>
        </w:tc>
        <w:tc>
          <w:tcPr>
            <w:tcW w:type="dxa" w:w="1247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1</w:t>
            </w:r>
          </w:p>
        </w:tc>
        <w:tc>
          <w:tcPr>
            <w:tcW w:type="dxa" w:w="3742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Poprawa zależności między przedmiotami, zwolnienie miejsca na inny przedmiot w semestrze 3 oraz lepsza reorganizacja programu studiów.</w:t>
            </w:r>
          </w:p>
        </w:tc>
      </w:tr>
      <w:tr>
        <w:tc>
          <w:tcPr>
            <w:tcW w:type="dxa" w:w="3118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Technologie Internetu</w:t>
            </w:r>
          </w:p>
        </w:tc>
        <w:tc>
          <w:tcPr>
            <w:tcW w:type="dxa" w:w="1247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4</w:t>
            </w:r>
          </w:p>
        </w:tc>
        <w:tc>
          <w:tcPr>
            <w:tcW w:type="dxa" w:w="1247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2</w:t>
            </w:r>
          </w:p>
        </w:tc>
        <w:tc>
          <w:tcPr>
            <w:tcW w:type="dxa" w:w="3742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Przeniesienie na wcześniejszy semestr, aby student wcześniej zdobył kompetencje w zakresie tworzenia aplikacji internetowych i mógł szybciej budować portfolio projektów.</w:t>
            </w:r>
          </w:p>
        </w:tc>
      </w:tr>
      <w:tr>
        <w:tc>
          <w:tcPr>
            <w:tcW w:type="dxa" w:w="3118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Fizyka</w:t>
            </w:r>
          </w:p>
        </w:tc>
        <w:tc>
          <w:tcPr>
            <w:tcW w:type="dxa" w:w="1247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2</w:t>
            </w:r>
          </w:p>
        </w:tc>
        <w:tc>
          <w:tcPr>
            <w:tcW w:type="dxa" w:w="1247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3</w:t>
            </w:r>
          </w:p>
        </w:tc>
        <w:tc>
          <w:tcPr>
            <w:tcW w:type="dxa" w:w="3742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Lepsza reorganizacja przedmiotów w programie studiów.</w:t>
            </w:r>
          </w:p>
        </w:tc>
      </w:tr>
      <w:tr>
        <w:tc>
          <w:tcPr>
            <w:tcW w:type="dxa" w:w="3118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Statystyczna analiza danych</w:t>
            </w:r>
          </w:p>
        </w:tc>
        <w:tc>
          <w:tcPr>
            <w:tcW w:type="dxa" w:w="1247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7</w:t>
            </w:r>
          </w:p>
        </w:tc>
        <w:tc>
          <w:tcPr>
            <w:tcW w:type="dxa" w:w="1247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3</w:t>
            </w:r>
          </w:p>
        </w:tc>
        <w:tc>
          <w:tcPr>
            <w:tcW w:type="dxa" w:w="3742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Zmiana wynikająca z zaleceń PKA. Przedmiot kluczowy dla sztucznej inteligencji nie powinien być realizowany dopiero na ostatnim semestrze.</w:t>
            </w:r>
          </w:p>
        </w:tc>
      </w:tr>
      <w:tr>
        <w:tc>
          <w:tcPr>
            <w:tcW w:type="dxa" w:w="3118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Systemy operacyjne</w:t>
            </w:r>
          </w:p>
        </w:tc>
        <w:tc>
          <w:tcPr>
            <w:tcW w:type="dxa" w:w="1247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4</w:t>
            </w:r>
          </w:p>
        </w:tc>
        <w:tc>
          <w:tcPr>
            <w:tcW w:type="dxa" w:w="1247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3</w:t>
            </w:r>
          </w:p>
        </w:tc>
        <w:tc>
          <w:tcPr>
            <w:tcW w:type="dxa" w:w="3742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Przeniesienie w celu lepszej reorganizacji programu studiów.</w:t>
            </w:r>
          </w:p>
        </w:tc>
      </w:tr>
      <w:tr>
        <w:tc>
          <w:tcPr>
            <w:tcW w:type="dxa" w:w="3118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Bezpieczeństwo systemów informacyjnych</w:t>
            </w:r>
          </w:p>
        </w:tc>
        <w:tc>
          <w:tcPr>
            <w:tcW w:type="dxa" w:w="1247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5</w:t>
            </w:r>
          </w:p>
        </w:tc>
        <w:tc>
          <w:tcPr>
            <w:tcW w:type="dxa" w:w="1247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4</w:t>
            </w:r>
          </w:p>
        </w:tc>
        <w:tc>
          <w:tcPr>
            <w:tcW w:type="dxa" w:w="3742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Przeniesienie na wcześniejszy semestr, aby przedmiot bazowy dla specjalizacji Cyberbezpieczeństwo był realizowany przed wyborem specjalizacji.</w:t>
            </w:r>
          </w:p>
        </w:tc>
      </w:tr>
      <w:tr>
        <w:tc>
          <w:tcPr>
            <w:tcW w:type="dxa" w:w="3118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Interakcja człowiek–komputer</w:t>
            </w:r>
          </w:p>
        </w:tc>
        <w:tc>
          <w:tcPr>
            <w:tcW w:type="dxa" w:w="1247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6</w:t>
            </w:r>
          </w:p>
        </w:tc>
        <w:tc>
          <w:tcPr>
            <w:tcW w:type="dxa" w:w="1247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5</w:t>
            </w:r>
          </w:p>
        </w:tc>
        <w:tc>
          <w:tcPr>
            <w:tcW w:type="dxa" w:w="3742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Przeniesienie przed rozpoczęciem projektów dyplomowych, aby studenci wcześniej poznali zasady projektowania interfejsów użytkownika.</w:t>
            </w:r>
          </w:p>
        </w:tc>
      </w:tr>
      <w:tr>
        <w:tc>
          <w:tcPr>
            <w:tcW w:type="dxa" w:w="3118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Psychologia umiejętności inżynierskich</w:t>
            </w:r>
          </w:p>
        </w:tc>
        <w:tc>
          <w:tcPr>
            <w:tcW w:type="dxa" w:w="1247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1</w:t>
            </w:r>
          </w:p>
        </w:tc>
        <w:tc>
          <w:tcPr>
            <w:tcW w:type="dxa" w:w="1247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5</w:t>
            </w:r>
          </w:p>
        </w:tc>
        <w:tc>
          <w:tcPr>
            <w:tcW w:type="dxa" w:w="3742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Lepsza reorganizacja przedmiotów w programie studiów.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i w:val="0"/>
          <w:color w:val="323232"/>
          <w:sz w:val="24"/>
        </w:rPr>
        <w:t>1.2.  Nowe oraz usunięte przedmioty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  <w:shd w:val="clear" w:color="auto" w:fill="B40000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Semestr</w:t>
            </w:r>
          </w:p>
        </w:tc>
        <w:tc>
          <w:tcPr>
            <w:tcW w:type="dxa" w:w="1361"/>
            <w:shd w:val="clear" w:color="auto" w:fill="B40000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Zakres zmiany</w:t>
            </w:r>
          </w:p>
        </w:tc>
        <w:tc>
          <w:tcPr>
            <w:tcW w:type="dxa" w:w="2721"/>
            <w:shd w:val="clear" w:color="auto" w:fill="B40000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Przedmiot</w:t>
            </w:r>
          </w:p>
        </w:tc>
        <w:tc>
          <w:tcPr>
            <w:tcW w:type="dxa" w:w="4252"/>
            <w:shd w:val="clear" w:color="auto" w:fill="B40000"/>
            <w:tcBorders>
              <w:top w:val="single" w:sz="4" w:space="0" w:color="B40000"/>
              <w:bottom w:val="single" w:sz="4" w:space="0" w:color="B40000"/>
              <w:left w:val="single" w:sz="4" w:space="0" w:color="B40000"/>
              <w:right w:val="single" w:sz="4" w:space="0" w:color="B4000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Uzasadnienie</w:t>
            </w:r>
          </w:p>
        </w:tc>
      </w:tr>
      <w:tr>
        <w:tc>
          <w:tcPr>
            <w:tcW w:type="dxa" w:w="1020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1</w:t>
            </w:r>
          </w:p>
        </w:tc>
        <w:tc>
          <w:tcPr>
            <w:tcW w:type="dxa" w:w="136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Nowe</w:t>
            </w:r>
          </w:p>
        </w:tc>
        <w:tc>
          <w:tcPr>
            <w:tcW w:type="dxa" w:w="272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Warsztat programisty</w:t>
            </w:r>
          </w:p>
        </w:tc>
        <w:tc>
          <w:tcPr>
            <w:tcW w:type="dxa" w:w="4252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Odpowiedź na braki kompetencyjne w zakresie narzędzi programistycznych, debugowania, pracy zespołowej z Git, wykorzystania AI w pracy programisty oraz budowania portfolio projektów informatycznych.</w:t>
            </w:r>
          </w:p>
        </w:tc>
      </w:tr>
      <w:tr>
        <w:tc>
          <w:tcPr>
            <w:tcW w:type="dxa" w:w="102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1</w:t>
            </w:r>
          </w:p>
        </w:tc>
        <w:tc>
          <w:tcPr>
            <w:tcW w:type="dxa" w:w="136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Usunięte</w:t>
            </w:r>
          </w:p>
        </w:tc>
        <w:tc>
          <w:tcPr>
            <w:tcW w:type="dxa" w:w="272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Wstęp do architektury komputerów 1</w:t>
            </w:r>
          </w:p>
        </w:tc>
        <w:tc>
          <w:tcPr>
            <w:tcW w:type="dxa" w:w="4252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Przedmiot miał wyłącznie charakter wykładowy i był bardziej adekwatny dla innego profilu studiów; stanowił pozostałość po wcześniejszym profilu ogólnoakademickim.</w:t>
            </w:r>
          </w:p>
        </w:tc>
      </w:tr>
      <w:tr>
        <w:tc>
          <w:tcPr>
            <w:tcW w:type="dxa" w:w="1020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2</w:t>
            </w:r>
          </w:p>
        </w:tc>
        <w:tc>
          <w:tcPr>
            <w:tcW w:type="dxa" w:w="136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Nowe</w:t>
            </w:r>
          </w:p>
        </w:tc>
        <w:tc>
          <w:tcPr>
            <w:tcW w:type="dxa" w:w="272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Języki programowania 1 i 2</w:t>
            </w:r>
          </w:p>
        </w:tc>
        <w:tc>
          <w:tcPr>
            <w:tcW w:type="dxa" w:w="4252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Wprowadzenie przedmiotów obieralnych umożliwiających poznanie różnych paradygmatów programowania oraz ich zastosowań w sztucznej inteligencji, grach, IoT, aplikacjach internetowych i analizie danych.</w:t>
            </w:r>
          </w:p>
        </w:tc>
      </w:tr>
      <w:tr>
        <w:tc>
          <w:tcPr>
            <w:tcW w:type="dxa" w:w="102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2</w:t>
            </w:r>
          </w:p>
        </w:tc>
        <w:tc>
          <w:tcPr>
            <w:tcW w:type="dxa" w:w="136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Usunięte</w:t>
            </w:r>
          </w:p>
        </w:tc>
        <w:tc>
          <w:tcPr>
            <w:tcW w:type="dxa" w:w="272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Warsztaty programistyczne</w:t>
            </w:r>
          </w:p>
        </w:tc>
        <w:tc>
          <w:tcPr>
            <w:tcW w:type="dxa" w:w="4252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Przedmiot koncentrował się wokół technologii PHP. Zdecydowano o zastąpieniu dotychczasowych rozproszonych treści jednym przedmiotem warsztatowym realizowanym przez cały semestr 3, obejmującym bazy danych, API oraz interfejs użytkownika.</w:t>
            </w:r>
          </w:p>
        </w:tc>
      </w:tr>
      <w:tr>
        <w:tc>
          <w:tcPr>
            <w:tcW w:type="dxa" w:w="1020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3</w:t>
            </w:r>
          </w:p>
        </w:tc>
        <w:tc>
          <w:tcPr>
            <w:tcW w:type="dxa" w:w="136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Nowe</w:t>
            </w:r>
          </w:p>
        </w:tc>
        <w:tc>
          <w:tcPr>
            <w:tcW w:type="dxa" w:w="272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Programowanie aplikacji internetowych</w:t>
            </w:r>
          </w:p>
        </w:tc>
        <w:tc>
          <w:tcPr>
            <w:tcW w:type="dxa" w:w="4252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Przedmiot powstał z połączenia przedmiotów Metody programowania oraz Java zaawansowana, które powielały treści. Dodatkowo zmieniono technologię wiodącą z Java na C#.</w:t>
            </w:r>
          </w:p>
        </w:tc>
      </w:tr>
      <w:tr>
        <w:tc>
          <w:tcPr>
            <w:tcW w:type="dxa" w:w="102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3</w:t>
            </w:r>
          </w:p>
        </w:tc>
        <w:tc>
          <w:tcPr>
            <w:tcW w:type="dxa" w:w="136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Nowe</w:t>
            </w:r>
          </w:p>
        </w:tc>
        <w:tc>
          <w:tcPr>
            <w:tcW w:type="dxa" w:w="272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Systemy baz danych 1 i 2</w:t>
            </w:r>
          </w:p>
        </w:tc>
        <w:tc>
          <w:tcPr>
            <w:tcW w:type="dxa" w:w="4252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Wprowadzenie przedmiotów obieralnych umożliwiających poznanie różnych rodzajów baz danych NoSQL oraz ich praktycznych zastosowań.</w:t>
            </w:r>
          </w:p>
        </w:tc>
      </w:tr>
      <w:tr>
        <w:tc>
          <w:tcPr>
            <w:tcW w:type="dxa" w:w="1020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3</w:t>
            </w:r>
          </w:p>
        </w:tc>
        <w:tc>
          <w:tcPr>
            <w:tcW w:type="dxa" w:w="136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Usunięte</w:t>
            </w:r>
          </w:p>
        </w:tc>
        <w:tc>
          <w:tcPr>
            <w:tcW w:type="dxa" w:w="272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Metody programowania oraz Java zaawansowana</w:t>
            </w:r>
          </w:p>
        </w:tc>
        <w:tc>
          <w:tcPr>
            <w:tcW w:type="dxa" w:w="4252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Przedmioty powielały istotną część treści programowych; utworzono nowy przedmiot z większą liczbą godzin przeznaczonych na wykład i laboratoria.</w:t>
            </w:r>
          </w:p>
        </w:tc>
      </w:tr>
      <w:tr>
        <w:tc>
          <w:tcPr>
            <w:tcW w:type="dxa" w:w="102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3</w:t>
            </w:r>
          </w:p>
        </w:tc>
        <w:tc>
          <w:tcPr>
            <w:tcW w:type="dxa" w:w="136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Usunięte</w:t>
            </w:r>
          </w:p>
        </w:tc>
        <w:tc>
          <w:tcPr>
            <w:tcW w:type="dxa" w:w="272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Systemy baz danych</w:t>
            </w:r>
          </w:p>
        </w:tc>
        <w:tc>
          <w:tcPr>
            <w:tcW w:type="dxa" w:w="4252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Zmiana wprowadzona w celu udostępnienia miejsca w programie na przedmioty obieralne z obszaru baz danych NoSQL.</w:t>
            </w:r>
          </w:p>
        </w:tc>
      </w:tr>
      <w:tr>
        <w:tc>
          <w:tcPr>
            <w:tcW w:type="dxa" w:w="1020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4</w:t>
            </w:r>
          </w:p>
        </w:tc>
        <w:tc>
          <w:tcPr>
            <w:tcW w:type="dxa" w:w="136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Nowe</w:t>
            </w:r>
          </w:p>
        </w:tc>
        <w:tc>
          <w:tcPr>
            <w:tcW w:type="dxa" w:w="272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Programowanie systemowe</w:t>
            </w:r>
          </w:p>
        </w:tc>
        <w:tc>
          <w:tcPr>
            <w:tcW w:type="dxa" w:w="4252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Nowy przedmiot w miejsce Wstępu do architektury komputerów 2. Lepsze odzwierciedlenie treści programowych oraz wprowadzenie do programowania systemowego i IoT.</w:t>
            </w:r>
          </w:p>
        </w:tc>
      </w:tr>
      <w:tr>
        <w:tc>
          <w:tcPr>
            <w:tcW w:type="dxa" w:w="102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4</w:t>
            </w:r>
          </w:p>
        </w:tc>
        <w:tc>
          <w:tcPr>
            <w:tcW w:type="dxa" w:w="136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Nowe</w:t>
            </w:r>
          </w:p>
        </w:tc>
        <w:tc>
          <w:tcPr>
            <w:tcW w:type="dxa" w:w="272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Technologie aplikacji mobilnych 1 i 2</w:t>
            </w:r>
          </w:p>
        </w:tc>
        <w:tc>
          <w:tcPr>
            <w:tcW w:type="dxa" w:w="4252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Wprowadzenie przedmiotów obieralnych poświęconych tworzeniu aplikacji mobilnych, które wcześniej były marginalizowane w programie studiów.</w:t>
            </w:r>
          </w:p>
        </w:tc>
      </w:tr>
      <w:tr>
        <w:tc>
          <w:tcPr>
            <w:tcW w:type="dxa" w:w="1020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5</w:t>
            </w:r>
          </w:p>
        </w:tc>
        <w:tc>
          <w:tcPr>
            <w:tcW w:type="dxa" w:w="136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Nowe</w:t>
            </w:r>
          </w:p>
        </w:tc>
        <w:tc>
          <w:tcPr>
            <w:tcW w:type="dxa" w:w="2721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Kompetencje lidera IT</w:t>
            </w:r>
          </w:p>
        </w:tc>
        <w:tc>
          <w:tcPr>
            <w:tcW w:type="dxa" w:w="4252"/>
            <w:shd w:val="clear" w:color="auto" w:fill="F0F0F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Nowy przedmiot rozwijający kompetencje miękkie potrzebne w pracy lidera IT.</w:t>
            </w:r>
          </w:p>
        </w:tc>
      </w:tr>
      <w:tr>
        <w:tc>
          <w:tcPr>
            <w:tcW w:type="dxa" w:w="1020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6</w:t>
            </w:r>
          </w:p>
        </w:tc>
        <w:tc>
          <w:tcPr>
            <w:tcW w:type="dxa" w:w="136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Nowe</w:t>
            </w:r>
          </w:p>
        </w:tc>
        <w:tc>
          <w:tcPr>
            <w:tcW w:type="dxa" w:w="2721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Metody Design Thinking w projektowaniu systemów IT</w:t>
            </w:r>
          </w:p>
        </w:tc>
        <w:tc>
          <w:tcPr>
            <w:tcW w:type="dxa" w:w="4252"/>
            <w:tcBorders>
              <w:top w:val="single" w:sz="2" w:space="0" w:color="C8C8C8"/>
              <w:bottom w:val="single" w:sz="2" w:space="0" w:color="C8C8C8"/>
              <w:left w:val="single" w:sz="2" w:space="0" w:color="C8C8C8"/>
              <w:right w:val="single" w:sz="2" w:space="0" w:color="C8C8C8"/>
            </w:tcBorders>
            <w:vAlign w:val="center"/>
          </w:tcPr>
          <w:p>
            <w:pPr>
              <w:spacing w:before="40" w:after="40"/>
              <w:ind w:left="85"/>
            </w:pPr>
            <w:r>
              <w:rPr>
                <w:rFonts w:ascii="Calibri" w:hAnsi="Calibri"/>
                <w:b w:val="0"/>
                <w:i w:val="0"/>
                <w:color w:val="323232"/>
                <w:sz w:val="20"/>
              </w:rPr>
              <w:t>Wprowadzenie przedmiotu obieralnego rozwijającego kompetencje projektowe niezbędne w tworzeniu nowoczesnych systemów IT.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color w:val="323232"/>
          <w:sz w:val="24"/>
        </w:rPr>
        <w:t>1.3.  Zmiany w specjalizacjach</w:t>
      </w:r>
    </w:p>
    <w:p>
      <w:pPr>
        <w:spacing w:before="160" w:after="40"/>
      </w:pPr>
      <w:r>
        <w:rPr>
          <w:rFonts w:ascii="Calibri" w:hAnsi="Calibri"/>
          <w:b/>
          <w:i w:val="0"/>
          <w:color w:val="B40000"/>
          <w:sz w:val="22"/>
        </w:rPr>
        <w:t>Aplikacje Internetowe → Architektury oprogramowania i DevOps – zmiana nazwy specjalizacji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color w:val="323232"/>
          <w:sz w:val="21"/>
        </w:rPr>
        <w:t>Dotychczasowa specjalizacja Aplikacje Internetowe została przemianowana na Architektury oprogramowania i DevOps.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color w:val="323232"/>
          <w:sz w:val="21"/>
        </w:rPr>
        <w:t>Semestr 5: Architektura mikroserwisowa i mikrofrontendowa; Konteneryzacja serwisów internetowych.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color w:val="323232"/>
          <w:sz w:val="21"/>
        </w:rPr>
        <w:t>Semestr 6: Technologie DevOps.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color w:val="323232"/>
          <w:sz w:val="21"/>
        </w:rPr>
        <w:t>Semestr 7: Zarządzanie infrastrukturą chmurowa.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color w:val="323232"/>
          <w:sz w:val="21"/>
        </w:rPr>
        <w:t>Powód: lepsza odpowiedź na rozwój AI, potrzeby rynku pracy i zainteresowania studentów – przy zachowaniu ciągłości specjalizacji.</w:t>
      </w:r>
    </w:p>
    <w:p>
      <w:pPr>
        <w:spacing w:before="160" w:after="40"/>
      </w:pPr>
      <w:r>
        <w:rPr>
          <w:rFonts w:ascii="Calibri" w:hAnsi="Calibri"/>
          <w:b/>
          <w:i w:val="0"/>
          <w:color w:val="B40000"/>
          <w:sz w:val="22"/>
        </w:rPr>
        <w:t>Inżynieria gier komputerowych – modyfikacja przedmiotów specjalizacyjnych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color w:val="323232"/>
          <w:sz w:val="21"/>
        </w:rPr>
        <w:t>Semestr 5: zmiana nazwy przedmiotu „Wytwarzanie Gier 1” na „Prototypowanie gier komputerowych”.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color w:val="323232"/>
          <w:sz w:val="21"/>
        </w:rPr>
        <w:t>Semestr 6: wprowadzenie nowego przedmiotu „Silniki gier komputerowych”.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color w:val="323232"/>
          <w:sz w:val="21"/>
        </w:rPr>
        <w:t>Semestr 7: zmiana nazwy przedmiotu „Wytwarzanie Gier 2” na „Projektowanie gier komputerowych”.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color w:val="323232"/>
          <w:sz w:val="21"/>
        </w:rPr>
        <w:t>Powód: lepsze dopasowanie nazw do treści programowych oraz uzupełnienie specjalizacji o przedmiot poświęcony silnikom gier.</w:t>
      </w:r>
    </w:p>
    <w:p>
      <w:pPr>
        <w:spacing w:before="160" w:after="40"/>
      </w:pPr>
      <w:r>
        <w:rPr>
          <w:rFonts w:ascii="Calibri" w:hAnsi="Calibri"/>
          <w:b/>
          <w:i w:val="0"/>
          <w:color w:val="B40000"/>
          <w:sz w:val="22"/>
        </w:rPr>
        <w:t>Sztuczna Inteligencja – zmiana nazwy przedmiotu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color w:val="323232"/>
          <w:sz w:val="21"/>
        </w:rPr>
        <w:t>Semestr 5: zmiana nazwy przedmiotu „Future of deep learning” na „Nowoczesne metody uczenia głębokiego”.</w:t>
      </w:r>
    </w:p>
    <w:p>
      <w:pPr>
        <w:pStyle w:val="ListBullet"/>
        <w:spacing w:before="0" w:after="40"/>
        <w:ind w:left="283"/>
      </w:pPr>
      <w:r>
        <w:rPr>
          <w:rFonts w:ascii="Calibri" w:hAnsi="Calibri"/>
          <w:b w:val="0"/>
          <w:i w:val="0"/>
          <w:color w:val="323232"/>
          <w:sz w:val="21"/>
        </w:rPr>
        <w:t>Powód: lepsze dopasowanie nazwy do treści programowych.</w:t>
      </w:r>
    </w:p>
    <w:p>
      <w:pPr>
        <w:spacing w:before="280" w:after="120"/>
        <w:pBdr>
          <w:bottom w:val="single" w:sz="6" w:space="1" w:color="B40000"/>
        </w:pBdr>
      </w:pPr>
      <w:r>
        <w:rPr>
          <w:rFonts w:ascii="Calibri" w:hAnsi="Calibri"/>
          <w:b/>
          <w:i w:val="0"/>
          <w:color w:val="B40000"/>
          <w:sz w:val="28"/>
        </w:rPr>
        <w:t>2.  Zmiany w programie studiów niestacjonarnych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23232"/>
          <w:sz w:val="22"/>
        </w:rPr>
        <w:t>Zmiany w godzinach: brak.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23232"/>
          <w:sz w:val="22"/>
        </w:rPr>
        <w:t>Charakter zmian: przyjęto rozwiązania analogiczne do programu studiów stacjonarnych.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23232"/>
          <w:sz w:val="22"/>
        </w:rPr>
        <w:t>Uzasadnienie: ujednolicenie programów oraz wprowadzanych zmian dla studentów trybu niestacjonarnego z programem studiów stacjonarnych.</w:t>
      </w:r>
    </w:p>
    <w:p>
      <w:pPr>
        <w:spacing w:before="280" w:after="120"/>
        <w:pBdr>
          <w:bottom w:val="single" w:sz="6" w:space="1" w:color="B40000"/>
        </w:pBdr>
      </w:pPr>
      <w:r>
        <w:rPr>
          <w:rFonts w:ascii="Calibri" w:hAnsi="Calibri"/>
          <w:b/>
          <w:i w:val="0"/>
          <w:color w:val="B40000"/>
          <w:sz w:val="28"/>
        </w:rPr>
        <w:t>3.  Wniosek końcowy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23232"/>
          <w:sz w:val="22"/>
        </w:rPr>
        <w:t>Przedstawione zmiany mają charakter porządkujący, dostosowujący oraz rozwojowy. Obejmują one zarówno reorganizację kolejności przedmiotów (w celu poprawy logiki programu studiów oraz realizacji zaleceń PKA), jak i modernizację oferty dydaktycznej przez wprowadzenie nowych przedmiotów odpowiadających aktualnym potrzebom rynku pracy i rozwoju technologii.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bottom w:val="single" w:sz="4" w:space="1" w:color="B40000"/>
      </w:pBdr>
    </w:pPr>
    <w:r>
      <w:rPr>
        <w:rFonts w:ascii="Calibri" w:hAnsi="Calibri"/>
        <w:color w:val="505050"/>
        <w:sz w:val="18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  <w:pBdr>
        <w:bottom w:val="single" w:sz="4" w:space="1" w:color="B40000"/>
      </w:pBdr>
    </w:pPr>
    <w:r>
      <w:rPr>
        <w:rFonts w:ascii="Calibri" w:hAnsi="Calibri"/>
        <w:b w:val="0"/>
        <w:i w:val="0"/>
        <w:color w:val="505050"/>
        <w:sz w:val="18"/>
      </w:rPr>
      <w:t>Polsko-Japońska Akademia Technik Komputerowych  ·  Filia w Gdańsku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232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