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Polsko-Japońska Akademia Technik Komputerowych Filia w Gdańsku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Historia i Kultura Japonii</w:t>
            </w:r>
          </w:p>
        </w:tc>
        <w:tc>
          <w:tcPr>
            <w:tcW w:type="dxa" w:w="4986"/>
            <w:gridSpan w:val="2"/>
          </w:tcPr>
          <w:p>
            <w:pPr>
              <w:spacing w:before="20" w:after="20"/>
            </w:pPr>
            <w:r>
              <w:rPr>
                <w:rFonts w:ascii="Aptos" w:hAnsi="Aptos"/>
                <w:b w:val="0"/>
                <w:i w:val="0"/>
                <w:sz w:val="22"/>
              </w:rPr>
              <w:t>19.02.2026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HKJ</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Gdańsku</w:t>
            </w:r>
          </w:p>
        </w:tc>
        <w:tc>
          <w:tcPr>
            <w:tcW w:type="dxa" w:w="4986"/>
            <w:gridSpan w:val="2"/>
          </w:tcPr>
          <w:p>
            <w:pPr>
              <w:spacing w:before="20" w:after="20"/>
            </w:pPr>
            <w:r>
              <w:rPr>
                <w:rFonts w:ascii="Aptos" w:hAnsi="Aptos"/>
                <w:b w:val="0"/>
                <w:i w:val="0"/>
                <w:sz w:val="22"/>
              </w:rPr>
              <w:t>2</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niestacjonarny</w:t>
            </w:r>
          </w:p>
        </w:tc>
        <w:tc>
          <w:tcPr>
            <w:tcW w:type="dxa" w:w="1662"/>
          </w:tcPr>
          <w:p>
            <w:pPr>
              <w:spacing w:before="20" w:after="20"/>
            </w:pPr>
            <w:r>
              <w:rPr>
                <w:rFonts w:ascii="Aptos" w:hAnsi="Aptos"/>
                <w:b w:val="0"/>
                <w:i w:val="0"/>
                <w:sz w:val="22"/>
              </w:rPr>
              <w:t>obligatoryjny</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1</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32</w:t>
            </w:r>
          </w:p>
        </w:tc>
        <w:tc>
          <w:tcPr>
            <w:tcW w:type="dxa" w:w="2991"/>
            <w:gridSpan w:val="3"/>
          </w:tcPr>
          <w:p>
            <w:pPr>
              <w:spacing w:before="20" w:after="20"/>
            </w:pPr>
            <w:r>
              <w:rPr>
                <w:rFonts w:ascii="Aptos" w:hAnsi="Aptos"/>
                <w:b w:val="0"/>
                <w:i w:val="0"/>
                <w:sz w:val="22"/>
              </w:rPr>
              <w:t>—</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32</w:t>
            </w:r>
          </w:p>
        </w:tc>
        <w:tc>
          <w:tcPr>
            <w:tcW w:type="dxa" w:w="1994"/>
            <w:gridSpan w:val="2"/>
          </w:tcPr>
          <w:p>
            <w:pPr>
              <w:spacing w:before="20" w:after="20"/>
            </w:pPr>
            <w:r>
              <w:rPr>
                <w:rFonts w:ascii="Aptos" w:hAnsi="Aptos"/>
                <w:b w:val="0"/>
                <w:i w:val="0"/>
                <w:sz w:val="22"/>
              </w:rPr>
              <w:t>1.3</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18</w:t>
            </w:r>
          </w:p>
        </w:tc>
        <w:tc>
          <w:tcPr>
            <w:tcW w:type="dxa" w:w="1994"/>
            <w:gridSpan w:val="2"/>
          </w:tcPr>
          <w:p>
            <w:pPr>
              <w:spacing w:before="20" w:after="20"/>
            </w:pPr>
            <w:r>
              <w:rPr>
                <w:rFonts w:ascii="Aptos" w:hAnsi="Aptos"/>
                <w:b w:val="0"/>
                <w:i w:val="0"/>
                <w:sz w:val="22"/>
              </w:rPr>
              <w:t>0.7</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Nauka zagadnień z historii i kultury Japonii; przygotowanie do kolokwium końcowego; samodzielne studia literatury i materiałów dotyczących kultury japońskiej.</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Wykład:</w:t>
            </w:r>
          </w:p>
          <w:p>
            <w:pPr>
              <w:spacing w:before="20" w:after="20"/>
            </w:pPr>
            <w:r>
              <w:rPr>
                <w:rFonts w:ascii="Aptos" w:hAnsi="Aptos"/>
                <w:b w:val="0"/>
                <w:sz w:val="22"/>
              </w:rPr>
              <w:t>• wykład z prezentacją multimedialną</w:t>
            </w:r>
          </w:p>
          <w:p>
            <w:pPr>
              <w:spacing w:before="20" w:after="20"/>
            </w:pPr>
            <w:r>
              <w:rPr>
                <w:rFonts w:ascii="Aptos" w:hAnsi="Aptos"/>
                <w:b w:val="0"/>
                <w:sz w:val="22"/>
              </w:rPr>
              <w:t>• wykład konwersatoryjny (z elementami dyskusji)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sz w:val="22"/>
              </w:rPr>
              <w:t>1. kolokwium końcowe</w:t>
            </w:r>
          </w:p>
        </w:tc>
        <w:tc>
          <w:tcPr>
            <w:tcW w:type="dxa" w:w="4986"/>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r>
          </w:p>
        </w:tc>
        <w:tc>
          <w:tcPr>
            <w:tcW w:type="dxa" w:w="4986"/>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Zapoznanie studentów z historią i kulturą Japonii, z najważniejszymi osiągnięciami w dziedzinie sztuki i estetyki. Zaznajomienie z tradycjami, zwyczajami, normami zachowań społecznych, problemami współczesnego społeczeństwa japońskiego oraz współczesną i dawną architekturą.</w:t>
            </w:r>
          </w:p>
          <w:p>
            <w:pPr>
              <w:spacing w:before="80" w:after="20"/>
            </w:pPr>
            <w:r>
              <w:rPr>
                <w:rFonts w:ascii="Aptos" w:hAnsi="Aptos"/>
                <w:b/>
                <w:sz w:val="22"/>
              </w:rPr>
              <w:t>Abstrakt po angielsku:</w:t>
            </w:r>
          </w:p>
          <w:p>
            <w:pPr>
              <w:spacing w:before="20" w:after="20"/>
            </w:pPr>
            <w:r>
              <w:rPr>
                <w:rFonts w:ascii="Aptos" w:hAnsi="Aptos"/>
                <w:i/>
                <w:sz w:val="22"/>
              </w:rPr>
              <w:t>Introduction to the history and culture of Japan, including its most important achievements in the field of art and aesthetics. Familiarization with traditions, customs, norms of social behavior, problems of contemporary Japanese society, as well as modern and historical architecture.</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8788"/>
      </w:tblGrid>
      <w:tr>
        <w:tc>
          <w:tcPr>
            <w:tcW w:type="dxa" w:w="9468"/>
            <w:gridSpan w:val="2"/>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8788"/>
            <w:shd w:val="clear" w:color="auto" w:fill="D9D9D9"/>
          </w:tcPr>
          <w:p>
            <w:pPr>
              <w:spacing w:before="20" w:after="20"/>
            </w:pPr>
            <w:r>
              <w:rPr>
                <w:rFonts w:ascii="Aptos" w:hAnsi="Aptos"/>
                <w:b/>
                <w:i w:val="0"/>
                <w:sz w:val="16"/>
              </w:rPr>
              <w:t>Treści programowe</w:t>
            </w:r>
          </w:p>
        </w:tc>
      </w:tr>
      <w:tr>
        <w:tc>
          <w:tcPr>
            <w:tcW w:type="dxa" w:w="680"/>
          </w:tcPr>
          <w:p>
            <w:pPr>
              <w:spacing w:before="20" w:after="20"/>
            </w:pPr>
            <w:r>
              <w:rPr>
                <w:rFonts w:ascii="Aptos" w:hAnsi="Aptos"/>
                <w:b w:val="0"/>
                <w:i w:val="0"/>
                <w:sz w:val="22"/>
              </w:rPr>
              <w:t>1.</w:t>
            </w:r>
          </w:p>
        </w:tc>
        <w:tc>
          <w:tcPr>
            <w:tcW w:type="dxa" w:w="8788"/>
          </w:tcPr>
          <w:p>
            <w:pPr>
              <w:spacing w:before="20" w:after="20"/>
            </w:pPr>
            <w:r>
              <w:rPr>
                <w:rFonts w:ascii="Aptos" w:hAnsi="Aptos"/>
                <w:b w:val="0"/>
                <w:i w:val="0"/>
                <w:sz w:val="22"/>
              </w:rPr>
              <w:t>Kultura i etykieta biznesu w Japonii (1) - Jak zdobyć zaufanie Japończyka. Dobre pierwsze wrażenie. Przedstawianie się i wymiana wizytówek. Nawiązywanie i podtrzymywanie kontaktu. Podstawowa japońska etykieta biznesu. Japońska gospodarka. Rynek pracy w Japonii.</w:t>
            </w:r>
          </w:p>
        </w:tc>
      </w:tr>
      <w:tr>
        <w:tc>
          <w:tcPr>
            <w:tcW w:type="dxa" w:w="680"/>
          </w:tcPr>
          <w:p>
            <w:pPr>
              <w:spacing w:before="20" w:after="20"/>
            </w:pPr>
            <w:r>
              <w:rPr>
                <w:rFonts w:ascii="Aptos" w:hAnsi="Aptos"/>
                <w:b w:val="0"/>
                <w:i w:val="0"/>
                <w:sz w:val="22"/>
              </w:rPr>
              <w:t>2.</w:t>
            </w:r>
          </w:p>
        </w:tc>
        <w:tc>
          <w:tcPr>
            <w:tcW w:type="dxa" w:w="8788"/>
          </w:tcPr>
          <w:p>
            <w:pPr>
              <w:spacing w:before="20" w:after="20"/>
            </w:pPr>
            <w:r>
              <w:rPr>
                <w:rFonts w:ascii="Aptos" w:hAnsi="Aptos"/>
                <w:b w:val="0"/>
                <w:i w:val="0"/>
                <w:sz w:val="22"/>
              </w:rPr>
              <w:t>Kultura i etykieta biznesu w Japonii (2) - Charakterystyka pracy w Japonii. Kobiety w japońskich firmach. Przedsiębiorstwa japońskie (kaizen). Wartości, symbole, postawy w japońskich firmach. Przebieg spotkania biznesowego. Negocjacje i podejmowanie decyzji.</w:t>
            </w:r>
          </w:p>
        </w:tc>
      </w:tr>
      <w:tr>
        <w:tc>
          <w:tcPr>
            <w:tcW w:type="dxa" w:w="680"/>
          </w:tcPr>
          <w:p>
            <w:pPr>
              <w:spacing w:before="20" w:after="20"/>
            </w:pPr>
            <w:r>
              <w:rPr>
                <w:rFonts w:ascii="Aptos" w:hAnsi="Aptos"/>
                <w:b w:val="0"/>
                <w:i w:val="0"/>
                <w:sz w:val="22"/>
              </w:rPr>
              <w:t>3.</w:t>
            </w:r>
          </w:p>
        </w:tc>
        <w:tc>
          <w:tcPr>
            <w:tcW w:type="dxa" w:w="8788"/>
          </w:tcPr>
          <w:p>
            <w:pPr>
              <w:spacing w:before="20" w:after="20"/>
            </w:pPr>
            <w:r>
              <w:rPr>
                <w:rFonts w:ascii="Aptos" w:hAnsi="Aptos"/>
                <w:b w:val="0"/>
                <w:i w:val="0"/>
                <w:sz w:val="22"/>
              </w:rPr>
              <w:t>Japonia w relacjach zagranicznych - Firmy zagraniczne w Japonii. Efektywny biznes w Japonii. Różnice kulturowe pomiędzy Japonią, Chinami i Koreą. Lokalizacja Japonii na świecie i elementy kultury japońskiej.</w:t>
            </w:r>
          </w:p>
        </w:tc>
      </w:tr>
      <w:tr>
        <w:tc>
          <w:tcPr>
            <w:tcW w:type="dxa" w:w="680"/>
          </w:tcPr>
          <w:p>
            <w:pPr>
              <w:spacing w:before="20" w:after="20"/>
            </w:pPr>
            <w:r>
              <w:rPr>
                <w:rFonts w:ascii="Aptos" w:hAnsi="Aptos"/>
                <w:b w:val="0"/>
                <w:i w:val="0"/>
                <w:sz w:val="22"/>
              </w:rPr>
              <w:t>4.</w:t>
            </w:r>
          </w:p>
        </w:tc>
        <w:tc>
          <w:tcPr>
            <w:tcW w:type="dxa" w:w="8788"/>
          </w:tcPr>
          <w:p>
            <w:pPr>
              <w:spacing w:before="20" w:after="20"/>
            </w:pPr>
            <w:r>
              <w:rPr>
                <w:rFonts w:ascii="Aptos" w:hAnsi="Aptos"/>
                <w:b w:val="0"/>
                <w:i w:val="0"/>
                <w:sz w:val="22"/>
              </w:rPr>
              <w:t>Geneza i historia animacji i mangi - Wczesny rozwój animacji i mangi. Ważne dzieła i ich wpływ kulturowy. Popularność i rozpowszechnianie w Japonii i za granicą.</w:t>
            </w:r>
          </w:p>
        </w:tc>
      </w:tr>
      <w:tr>
        <w:tc>
          <w:tcPr>
            <w:tcW w:type="dxa" w:w="680"/>
          </w:tcPr>
          <w:p>
            <w:pPr>
              <w:spacing w:before="20" w:after="20"/>
            </w:pPr>
            <w:r>
              <w:rPr>
                <w:rFonts w:ascii="Aptos" w:hAnsi="Aptos"/>
                <w:b w:val="0"/>
                <w:i w:val="0"/>
                <w:sz w:val="22"/>
              </w:rPr>
              <w:t>5.</w:t>
            </w:r>
          </w:p>
        </w:tc>
        <w:tc>
          <w:tcPr>
            <w:tcW w:type="dxa" w:w="8788"/>
          </w:tcPr>
          <w:p>
            <w:pPr>
              <w:spacing w:before="20" w:after="20"/>
            </w:pPr>
            <w:r>
              <w:rPr>
                <w:rFonts w:ascii="Aptos" w:hAnsi="Aptos"/>
                <w:b w:val="0"/>
                <w:i w:val="0"/>
                <w:sz w:val="22"/>
              </w:rPr>
              <w:t>Gatunki i cechy charakterystyczne mangi i anime - Gatunki shōnen, shōjo, seinen. Projekty postaci i style ekspresji. Przemysłowy i ekonomiczny wpływ anime i mangi.</w:t>
            </w:r>
          </w:p>
        </w:tc>
      </w:tr>
      <w:tr>
        <w:tc>
          <w:tcPr>
            <w:tcW w:type="dxa" w:w="680"/>
          </w:tcPr>
          <w:p>
            <w:pPr>
              <w:spacing w:before="20" w:after="20"/>
            </w:pPr>
            <w:r>
              <w:rPr>
                <w:rFonts w:ascii="Aptos" w:hAnsi="Aptos"/>
                <w:b w:val="0"/>
                <w:i w:val="0"/>
                <w:sz w:val="22"/>
              </w:rPr>
              <w:t>6.</w:t>
            </w:r>
          </w:p>
        </w:tc>
        <w:tc>
          <w:tcPr>
            <w:tcW w:type="dxa" w:w="8788"/>
          </w:tcPr>
          <w:p>
            <w:pPr>
              <w:spacing w:before="20" w:after="20"/>
            </w:pPr>
            <w:r>
              <w:rPr>
                <w:rFonts w:ascii="Aptos" w:hAnsi="Aptos"/>
                <w:b w:val="0"/>
                <w:i w:val="0"/>
                <w:sz w:val="22"/>
              </w:rPr>
              <w:t>Wielkość i rozwój rynku animacji i mangi - Działalność związana z licencjonowaniem i rozwojem produktów. Wpływ gospodarczy animacji i mangi.</w:t>
            </w:r>
          </w:p>
        </w:tc>
      </w:tr>
      <w:tr>
        <w:tc>
          <w:tcPr>
            <w:tcW w:type="dxa" w:w="680"/>
          </w:tcPr>
          <w:p>
            <w:pPr>
              <w:spacing w:before="20" w:after="20"/>
            </w:pPr>
            <w:r>
              <w:rPr>
                <w:rFonts w:ascii="Aptos" w:hAnsi="Aptos"/>
                <w:b w:val="0"/>
                <w:i w:val="0"/>
                <w:sz w:val="22"/>
              </w:rPr>
              <w:t>7.</w:t>
            </w:r>
          </w:p>
        </w:tc>
        <w:tc>
          <w:tcPr>
            <w:tcW w:type="dxa" w:w="8788"/>
          </w:tcPr>
          <w:p>
            <w:pPr>
              <w:spacing w:before="20" w:after="20"/>
            </w:pPr>
            <w:r>
              <w:rPr>
                <w:rFonts w:ascii="Aptos" w:hAnsi="Aptos"/>
                <w:b w:val="0"/>
                <w:i w:val="0"/>
                <w:sz w:val="22"/>
              </w:rPr>
              <w:t>Estetyka japońska - Percepcja natury. Pojęcie piękna i kształtowanie się estetyki japońskiej. Cechy kluczowe estetyki japońskiej: sugestia, nieregularność, prostota, nietrwałość. Pojęcia estetyczne: wabi-sabi, miyabi, aware, iki, yūgen.</w:t>
            </w:r>
          </w:p>
        </w:tc>
      </w:tr>
      <w:tr>
        <w:tc>
          <w:tcPr>
            <w:tcW w:type="dxa" w:w="680"/>
          </w:tcPr>
          <w:p>
            <w:pPr>
              <w:spacing w:before="20" w:after="20"/>
            </w:pPr>
            <w:r>
              <w:rPr>
                <w:rFonts w:ascii="Aptos" w:hAnsi="Aptos"/>
                <w:b w:val="0"/>
                <w:i w:val="0"/>
                <w:sz w:val="22"/>
              </w:rPr>
              <w:t>8.</w:t>
            </w:r>
          </w:p>
        </w:tc>
        <w:tc>
          <w:tcPr>
            <w:tcW w:type="dxa" w:w="8788"/>
          </w:tcPr>
          <w:p>
            <w:pPr>
              <w:spacing w:before="20" w:after="20"/>
            </w:pPr>
            <w:r>
              <w:rPr>
                <w:rFonts w:ascii="Aptos" w:hAnsi="Aptos"/>
                <w:b w:val="0"/>
                <w:i w:val="0"/>
                <w:sz w:val="22"/>
              </w:rPr>
              <w:t>Architektura japońska - Miasta i prowincji, współcześni architekci. Przejście od architektury tradycyjnej do nowoczesnej. Architektura współczesna: powojenny metabolism, postmodernizm.</w:t>
            </w:r>
          </w:p>
        </w:tc>
      </w:tr>
      <w:tr>
        <w:tc>
          <w:tcPr>
            <w:tcW w:type="dxa" w:w="680"/>
          </w:tcPr>
          <w:p>
            <w:pPr>
              <w:spacing w:before="20" w:after="20"/>
            </w:pPr>
            <w:r>
              <w:rPr>
                <w:rFonts w:ascii="Aptos" w:hAnsi="Aptos"/>
                <w:b w:val="0"/>
                <w:i w:val="0"/>
                <w:sz w:val="22"/>
              </w:rPr>
              <w:t>9.</w:t>
            </w:r>
          </w:p>
        </w:tc>
        <w:tc>
          <w:tcPr>
            <w:tcW w:type="dxa" w:w="8788"/>
          </w:tcPr>
          <w:p>
            <w:pPr>
              <w:spacing w:before="20" w:after="20"/>
            </w:pPr>
            <w:r>
              <w:rPr>
                <w:rFonts w:ascii="Aptos" w:hAnsi="Aptos"/>
                <w:b w:val="0"/>
                <w:i w:val="0"/>
                <w:sz w:val="22"/>
              </w:rPr>
              <w:t>Koleje japońskie - Ewolucja i estetyka dworców kolejowych w Japonii. Japońskie pociągi.</w:t>
            </w:r>
          </w:p>
        </w:tc>
      </w:tr>
      <w:tr>
        <w:tc>
          <w:tcPr>
            <w:tcW w:type="dxa" w:w="680"/>
          </w:tcPr>
          <w:p>
            <w:pPr>
              <w:spacing w:before="20" w:after="20"/>
            </w:pPr>
            <w:r>
              <w:rPr>
                <w:rFonts w:ascii="Aptos" w:hAnsi="Aptos"/>
                <w:b w:val="0"/>
                <w:i w:val="0"/>
                <w:sz w:val="22"/>
              </w:rPr>
              <w:t>10.</w:t>
            </w:r>
          </w:p>
        </w:tc>
        <w:tc>
          <w:tcPr>
            <w:tcW w:type="dxa" w:w="8788"/>
          </w:tcPr>
          <w:p>
            <w:pPr>
              <w:spacing w:before="20" w:after="20"/>
            </w:pPr>
            <w:r>
              <w:rPr>
                <w:rFonts w:ascii="Aptos" w:hAnsi="Aptos"/>
                <w:b w:val="0"/>
                <w:i w:val="0"/>
                <w:sz w:val="22"/>
              </w:rPr>
              <w:t>Estetyka infrastruktury w Japonii - Architekt i inżynier w Japonii. Historia estetyki infrastruktury. Zasady estetyki kolei.</w:t>
            </w:r>
          </w:p>
        </w:tc>
      </w:tr>
      <w:tr>
        <w:tc>
          <w:tcPr>
            <w:tcW w:type="dxa" w:w="680"/>
          </w:tcPr>
          <w:p>
            <w:pPr>
              <w:spacing w:before="20" w:after="20"/>
            </w:pPr>
            <w:r>
              <w:rPr>
                <w:rFonts w:ascii="Aptos" w:hAnsi="Aptos"/>
                <w:b w:val="0"/>
                <w:i w:val="0"/>
                <w:sz w:val="22"/>
              </w:rPr>
              <w:t>11.</w:t>
            </w:r>
          </w:p>
        </w:tc>
        <w:tc>
          <w:tcPr>
            <w:tcW w:type="dxa" w:w="8788"/>
          </w:tcPr>
          <w:p>
            <w:pPr>
              <w:spacing w:before="20" w:after="20"/>
            </w:pPr>
            <w:r>
              <w:rPr>
                <w:rFonts w:ascii="Aptos" w:hAnsi="Aptos"/>
                <w:b w:val="0"/>
                <w:i w:val="0"/>
                <w:sz w:val="22"/>
              </w:rPr>
              <w:t>Przestrzeń publiczna w Japonii - Przykłady kolei na estakadach, placów dworcowych, sztuka publiczna.</w:t>
            </w:r>
          </w:p>
        </w:tc>
      </w:tr>
      <w:tr>
        <w:tc>
          <w:tcPr>
            <w:tcW w:type="dxa" w:w="680"/>
          </w:tcPr>
          <w:p>
            <w:pPr>
              <w:spacing w:before="20" w:after="20"/>
            </w:pPr>
            <w:r>
              <w:rPr>
                <w:rFonts w:ascii="Aptos" w:hAnsi="Aptos"/>
                <w:b w:val="0"/>
                <w:i w:val="0"/>
                <w:sz w:val="22"/>
              </w:rPr>
              <w:t>12.</w:t>
            </w:r>
          </w:p>
        </w:tc>
        <w:tc>
          <w:tcPr>
            <w:tcW w:type="dxa" w:w="8788"/>
          </w:tcPr>
          <w:p>
            <w:pPr>
              <w:spacing w:before="20" w:after="20"/>
            </w:pPr>
            <w:r>
              <w:rPr>
                <w:rFonts w:ascii="Aptos" w:hAnsi="Aptos"/>
                <w:b w:val="0"/>
                <w:i w:val="0"/>
                <w:sz w:val="22"/>
              </w:rPr>
              <w:t>Kultura otaku - Powstanie i charakterystyka. Znaczenie cosplay i doujin. Rola wydarzeń i społeczności - globalny wpływ.</w:t>
            </w:r>
          </w:p>
        </w:tc>
      </w:tr>
      <w:tr>
        <w:tc>
          <w:tcPr>
            <w:tcW w:type="dxa" w:w="680"/>
          </w:tcPr>
          <w:p>
            <w:pPr>
              <w:spacing w:before="20" w:after="20"/>
            </w:pPr>
            <w:r>
              <w:rPr>
                <w:rFonts w:ascii="Aptos" w:hAnsi="Aptos"/>
                <w:b w:val="0"/>
                <w:i w:val="0"/>
                <w:sz w:val="22"/>
              </w:rPr>
              <w:t>13.</w:t>
            </w:r>
          </w:p>
        </w:tc>
        <w:tc>
          <w:tcPr>
            <w:tcW w:type="dxa" w:w="8788"/>
          </w:tcPr>
          <w:p>
            <w:pPr>
              <w:spacing w:before="20" w:after="20"/>
            </w:pPr>
            <w:r>
              <w:rPr>
                <w:rFonts w:ascii="Aptos" w:hAnsi="Aptos"/>
                <w:b w:val="0"/>
                <w:i w:val="0"/>
                <w:sz w:val="22"/>
              </w:rPr>
              <w:t>Popularność i wpływ anime i mangi za granicą - Interakcja z międzynarodowymi fanami. Akceptacja kulturowa.</w:t>
            </w:r>
          </w:p>
        </w:tc>
      </w:tr>
      <w:tr>
        <w:tc>
          <w:tcPr>
            <w:tcW w:type="dxa" w:w="680"/>
          </w:tcPr>
          <w:p>
            <w:pPr>
              <w:spacing w:before="20" w:after="20"/>
            </w:pPr>
            <w:r>
              <w:rPr>
                <w:rFonts w:ascii="Aptos" w:hAnsi="Aptos"/>
                <w:b w:val="0"/>
                <w:i w:val="0"/>
                <w:sz w:val="22"/>
              </w:rPr>
              <w:t>14.</w:t>
            </w:r>
          </w:p>
        </w:tc>
        <w:tc>
          <w:tcPr>
            <w:tcW w:type="dxa" w:w="8788"/>
          </w:tcPr>
          <w:p>
            <w:pPr>
              <w:spacing w:before="20" w:after="20"/>
            </w:pPr>
            <w:r>
              <w:rPr>
                <w:rFonts w:ascii="Aptos" w:hAnsi="Aptos"/>
                <w:b w:val="0"/>
                <w:i w:val="0"/>
                <w:sz w:val="22"/>
              </w:rPr>
              <w:t>Wprowadzenie do historii japońskiej.</w:t>
            </w:r>
          </w:p>
        </w:tc>
      </w:tr>
      <w:tr>
        <w:tc>
          <w:tcPr>
            <w:tcW w:type="dxa" w:w="680"/>
          </w:tcPr>
          <w:p>
            <w:pPr>
              <w:spacing w:before="20" w:after="20"/>
            </w:pPr>
            <w:r>
              <w:rPr>
                <w:rFonts w:ascii="Aptos" w:hAnsi="Aptos"/>
                <w:b w:val="0"/>
                <w:i w:val="0"/>
                <w:sz w:val="22"/>
              </w:rPr>
              <w:t>15.</w:t>
            </w:r>
          </w:p>
        </w:tc>
        <w:tc>
          <w:tcPr>
            <w:tcW w:type="dxa" w:w="8788"/>
          </w:tcPr>
          <w:p>
            <w:pPr>
              <w:spacing w:before="20" w:after="20"/>
            </w:pPr>
            <w:r>
              <w:rPr>
                <w:rFonts w:ascii="Aptos" w:hAnsi="Aptos"/>
                <w:b w:val="0"/>
                <w:i w:val="0"/>
                <w:sz w:val="22"/>
              </w:rPr>
              <w:t>Podsumowanie wszystkich zagadnień, kolokwium końcowe.</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Marszałek-Kawa, J., Gawłowski, R. (red.) (2013) Kulturowe i edukacyjne oblicza współczesnej Azji, Wydawnictwo Adam Marszałek, Toruń.</w:t>
            </w:r>
          </w:p>
          <w:p>
            <w:pPr>
              <w:spacing w:before="20" w:after="20"/>
            </w:pPr>
            <w:r>
              <w:rPr>
                <w:rFonts w:ascii="Aptos" w:hAnsi="Aptos"/>
                <w:sz w:val="22"/>
              </w:rPr>
              <w:t>2. Nishigake, H., Dillon, T. (2009) An illustrated English-Japanese Dictionary of Japanese life, Shogakukan, Tokyo.</w:t>
            </w:r>
          </w:p>
          <w:p>
            <w:pPr>
              <w:spacing w:before="20" w:after="20"/>
            </w:pPr>
            <w:r>
              <w:rPr>
                <w:rFonts w:ascii="Aptos" w:hAnsi="Aptos"/>
                <w:sz w:val="22"/>
              </w:rPr>
              <w:t>3. Takei, N. (2001) Getting closer to Japan. Japanese culture, ASK., Ltd., Tokyo.</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Doi, T. (1973) The Anatomy of Dependence, Kodansha International, Tokyo.</w:t>
            </w:r>
          </w:p>
          <w:p>
            <w:pPr>
              <w:spacing w:before="20" w:after="20"/>
            </w:pPr>
            <w:r>
              <w:rPr>
                <w:rFonts w:ascii="Aptos" w:hAnsi="Aptos"/>
                <w:sz w:val="22"/>
              </w:rPr>
              <w:t>2. Keene, D. (1971) Appreciations of Japanese culture, Kodansha International, Tokyo.</w:t>
            </w:r>
          </w:p>
          <w:p>
            <w:pPr>
              <w:spacing w:before="20" w:after="20"/>
            </w:pPr>
            <w:r>
              <w:rPr>
                <w:rFonts w:ascii="Aptos" w:hAnsi="Aptos"/>
                <w:sz w:val="22"/>
              </w:rPr>
              <w:t>3. Kubiak Ho-Chi, B. (2009) Estetyka i sztuka japońska, Universitas, Kraków.</w:t>
            </w:r>
          </w:p>
          <w:p>
            <w:pPr>
              <w:spacing w:before="20" w:after="20"/>
            </w:pPr>
            <w:r>
              <w:rPr>
                <w:rFonts w:ascii="Aptos" w:hAnsi="Aptos"/>
                <w:sz w:val="22"/>
              </w:rPr>
              <w:t>4. Mukai, K. (2008) A guidebook to Japan and its customs, Nihon Bungeisha, Tokyo.</w:t>
            </w:r>
          </w:p>
          <w:p>
            <w:pPr>
              <w:spacing w:before="20" w:after="20"/>
            </w:pPr>
            <w:r>
              <w:rPr>
                <w:rFonts w:ascii="Aptos" w:hAnsi="Aptos"/>
                <w:sz w:val="22"/>
              </w:rPr>
              <w:t>5. Richie, D. (2007) A tractate on Japanese aesthetics, Stone Bridges Press, Berkley.</w:t>
            </w:r>
          </w:p>
          <w:p>
            <w:pPr>
              <w:spacing w:before="20" w:after="20"/>
            </w:pPr>
            <w:r>
              <w:rPr>
                <w:rFonts w:ascii="Aptos" w:hAnsi="Aptos"/>
                <w:sz w:val="22"/>
              </w:rPr>
              <w:t>6. Young, D., Young, M. (2019) The art of Japanese architecture, Tuttle Publishing, Tokyo.</w:t>
            </w:r>
          </w:p>
          <w:p>
            <w:pPr>
              <w:spacing w:before="20" w:after="20"/>
            </w:pPr>
            <w:r>
              <w:rPr>
                <w:rFonts w:ascii="Aptos" w:hAnsi="Aptos"/>
                <w:sz w:val="22"/>
              </w:rPr>
              <w:t>7. Lynch, K. (1960) The Image of the City, MIT Press, Cambridge MA.</w:t>
            </w:r>
          </w:p>
          <w:p>
            <w:pPr>
              <w:spacing w:before="20" w:after="20"/>
            </w:pPr>
            <w:r>
              <w:rPr>
                <w:rFonts w:ascii="Aptos" w:hAnsi="Aptos"/>
                <w:sz w:val="22"/>
              </w:rPr>
              <w:t>8. Meeks, C.L.V. (1995) The Railroad Station: An Architectural History, Dover Publications, New York.</w:t>
            </w:r>
          </w:p>
          <w:p>
            <w:pPr>
              <w:spacing w:before="20" w:after="20"/>
            </w:pPr>
            <w:r>
              <w:rPr>
                <w:rFonts w:ascii="Aptos" w:hAnsi="Aptos"/>
                <w:sz w:val="22"/>
              </w:rPr>
              <w:t>9. Mizuno, K. (2017) Subway stations around the world, Seigensha, Tokyo.</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K_W19</w:t>
            </w:r>
          </w:p>
        </w:tc>
        <w:tc>
          <w:tcPr>
            <w:tcW w:type="dxa" w:w="3324"/>
          </w:tcPr>
          <w:p>
            <w:pPr>
              <w:spacing w:before="20" w:after="20"/>
            </w:pPr>
            <w:r>
              <w:rPr>
                <w:rFonts w:ascii="Aptos" w:hAnsi="Aptos"/>
                <w:b w:val="0"/>
                <w:i w:val="0"/>
                <w:sz w:val="22"/>
              </w:rPr>
              <w:t>Student zna i rozumie podstawowe fakty z historii i kultury Japonii.</w:t>
            </w:r>
          </w:p>
        </w:tc>
        <w:tc>
          <w:tcPr>
            <w:tcW w:type="dxa" w:w="3324"/>
          </w:tcPr>
          <w:p>
            <w:pPr>
              <w:spacing w:before="20" w:after="20"/>
            </w:pPr>
            <w:r>
              <w:rPr>
                <w:rFonts w:ascii="Aptos" w:hAnsi="Aptos"/>
                <w:b w:val="0"/>
                <w:i w:val="0"/>
                <w:sz w:val="22"/>
              </w:rPr>
              <w:t>kolokwium końcowe</w:t>
            </w:r>
          </w:p>
        </w:tc>
      </w:tr>
      <w:tr>
        <w:tc>
          <w:tcPr>
            <w:tcW w:type="dxa" w:w="3324"/>
          </w:tcPr>
          <w:p>
            <w:pPr>
              <w:spacing w:before="20" w:after="20"/>
            </w:pPr>
            <w:r>
              <w:rPr>
                <w:rFonts w:ascii="Aptos" w:hAnsi="Aptos"/>
                <w:b w:val="0"/>
                <w:i w:val="0"/>
                <w:sz w:val="22"/>
              </w:rPr>
              <w:t>K_W17</w:t>
            </w:r>
          </w:p>
        </w:tc>
        <w:tc>
          <w:tcPr>
            <w:tcW w:type="dxa" w:w="3324"/>
          </w:tcPr>
          <w:p>
            <w:pPr>
              <w:spacing w:before="20" w:after="20"/>
            </w:pPr>
            <w:r>
              <w:rPr>
                <w:rFonts w:ascii="Aptos" w:hAnsi="Aptos"/>
                <w:b w:val="0"/>
                <w:i w:val="0"/>
                <w:sz w:val="22"/>
              </w:rPr>
              <w:t>Student zna najważniejsze pojęcia estetyki japońskiej.</w:t>
            </w:r>
          </w:p>
        </w:tc>
        <w:tc>
          <w:tcPr>
            <w:tcW w:type="dxa" w:w="3324"/>
          </w:tcPr>
          <w:p>
            <w:pPr>
              <w:spacing w:before="20" w:after="20"/>
            </w:pPr>
            <w:r>
              <w:rPr>
                <w:rFonts w:ascii="Aptos" w:hAnsi="Aptos"/>
                <w:b w:val="0"/>
                <w:i w:val="0"/>
                <w:sz w:val="22"/>
              </w:rPr>
              <w:t>kolokwium końcowe</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K_U01</w:t>
            </w:r>
          </w:p>
        </w:tc>
        <w:tc>
          <w:tcPr>
            <w:tcW w:type="dxa" w:w="3324"/>
          </w:tcPr>
          <w:p>
            <w:pPr>
              <w:spacing w:before="20" w:after="20"/>
            </w:pPr>
            <w:r>
              <w:rPr>
                <w:rFonts w:ascii="Aptos" w:hAnsi="Aptos"/>
                <w:b w:val="0"/>
                <w:i w:val="0"/>
                <w:sz w:val="22"/>
              </w:rPr>
              <w:t>Student potrafi pozyskiwać specjalistyczne informacje z literatury na temat kultury i historii Japonii.</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K_U04</w:t>
            </w:r>
          </w:p>
        </w:tc>
        <w:tc>
          <w:tcPr>
            <w:tcW w:type="dxa" w:w="3324"/>
          </w:tcPr>
          <w:p>
            <w:pPr>
              <w:spacing w:before="20" w:after="20"/>
            </w:pPr>
            <w:r>
              <w:rPr>
                <w:rFonts w:ascii="Aptos" w:hAnsi="Aptos"/>
                <w:b w:val="0"/>
                <w:i w:val="0"/>
                <w:sz w:val="22"/>
              </w:rPr>
              <w:t>Student potrafi dokonywać oceny, krytycznej analizy i syntezy tych informacji, a także wyciągać wnioski.</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K_U19</w:t>
            </w:r>
          </w:p>
        </w:tc>
        <w:tc>
          <w:tcPr>
            <w:tcW w:type="dxa" w:w="3324"/>
          </w:tcPr>
          <w:p>
            <w:pPr>
              <w:spacing w:before="20" w:after="20"/>
            </w:pPr>
            <w:r>
              <w:rPr>
                <w:rFonts w:ascii="Aptos" w:hAnsi="Aptos"/>
                <w:b w:val="0"/>
                <w:i w:val="0"/>
                <w:sz w:val="22"/>
              </w:rPr>
              <w:t>Student potrafi formułować i uzasadniać opinie na tematy poruszane na wykładzie.</w:t>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K_K03</w:t>
            </w:r>
          </w:p>
        </w:tc>
        <w:tc>
          <w:tcPr>
            <w:tcW w:type="dxa" w:w="3324"/>
          </w:tcPr>
          <w:p>
            <w:pPr>
              <w:spacing w:before="20" w:after="20"/>
            </w:pPr>
            <w:r>
              <w:rPr>
                <w:rFonts w:ascii="Aptos" w:hAnsi="Aptos"/>
                <w:b w:val="0"/>
                <w:i w:val="0"/>
                <w:sz w:val="22"/>
              </w:rPr>
              <w:t>Student jest gotów do uczenia się przez całe życie w kontekście nowej wiedzy dotyczącej kultury Japonii.</w:t>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