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Język japoński 3</w:t>
            </w:r>
          </w:p>
        </w:tc>
        <w:tc>
          <w:tcPr>
            <w:tcW w:type="dxa" w:w="4986"/>
            <w:gridSpan w:val="2"/>
          </w:tcPr>
          <w:p>
            <w:pPr>
              <w:spacing w:before="20" w:after="20"/>
            </w:pPr>
            <w:r>
              <w:rPr>
                <w:rFonts w:ascii="Aptos" w:hAnsi="Aptos"/>
                <w:b w:val="0"/>
                <w:i w:val="0"/>
                <w:sz w:val="22"/>
              </w:rPr>
              <w:t>04.03.2026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JAP3</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lektorat</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7</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Studium Języków Obcych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w:t>
            </w:r>
          </w:p>
        </w:tc>
        <w:tc>
          <w:tcPr>
            <w:tcW w:type="dxa" w:w="2991"/>
            <w:gridSpan w:val="3"/>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16</w:t>
            </w:r>
          </w:p>
        </w:tc>
        <w:tc>
          <w:tcPr>
            <w:tcW w:type="dxa" w:w="1994"/>
            <w:gridSpan w:val="2"/>
          </w:tcPr>
          <w:p>
            <w:pPr>
              <w:spacing w:before="20" w:after="20"/>
            </w:pPr>
            <w:r>
              <w:rPr>
                <w:rFonts w:ascii="Aptos" w:hAnsi="Aptos"/>
                <w:b w:val="0"/>
                <w:i w:val="0"/>
                <w:sz w:val="22"/>
              </w:rPr>
              <w:t>0.6</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34</w:t>
            </w:r>
          </w:p>
        </w:tc>
        <w:tc>
          <w:tcPr>
            <w:tcW w:type="dxa" w:w="1994"/>
            <w:gridSpan w:val="2"/>
          </w:tcPr>
          <w:p>
            <w:pPr>
              <w:spacing w:before="20" w:after="20"/>
            </w:pPr>
            <w:r>
              <w:rPr>
                <w:rFonts w:ascii="Aptos" w:hAnsi="Aptos"/>
                <w:b w:val="0"/>
                <w:i w:val="0"/>
                <w:sz w:val="22"/>
              </w:rPr>
              <w:t>1.4</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Nauka pisma japońskiego; ćwiczenia gramatyczne i słownikowe na poziomie zaawansowanym; przygotowanie do kolokwiów i testów; ćwiczenie konwersacji.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Ćwiczenia / Laboratorium:</w:t>
            </w:r>
          </w:p>
          <w:p>
            <w:pPr>
              <w:spacing w:before="20" w:after="20"/>
            </w:pPr>
            <w:r>
              <w:rPr>
                <w:rFonts w:ascii="Aptos" w:hAnsi="Aptos"/>
                <w:b w:val="0"/>
                <w:sz w:val="22"/>
              </w:rPr>
              <w:t>• analiza tekstów z dyskusją</w:t>
            </w:r>
          </w:p>
          <w:p>
            <w:pPr>
              <w:spacing w:before="20" w:after="20"/>
            </w:pPr>
            <w:r>
              <w:rPr>
                <w:rFonts w:ascii="Aptos" w:hAnsi="Aptos"/>
                <w:b w:val="0"/>
                <w:sz w:val="22"/>
              </w:rPr>
              <w:t>• rozwiązywanie zadań</w:t>
            </w:r>
          </w:p>
          <w:p>
            <w:pPr>
              <w:spacing w:before="20" w:after="20"/>
            </w:pPr>
            <w:r>
              <w:rPr>
                <w:rFonts w:ascii="Aptos" w:hAnsi="Aptos"/>
                <w:b w:val="0"/>
                <w:sz w:val="22"/>
              </w:rPr>
              <w:t>• burza mózgów</w:t>
            </w:r>
          </w:p>
          <w:p>
            <w:pPr>
              <w:spacing w:before="20" w:after="20"/>
            </w:pPr>
            <w:r>
              <w:rPr>
                <w:rFonts w:ascii="Aptos" w:hAnsi="Aptos"/>
                <w:b w:val="0"/>
                <w:sz w:val="22"/>
              </w:rPr>
              <w:t>• mind map</w:t>
            </w:r>
          </w:p>
          <w:p>
            <w:pPr>
              <w:spacing w:before="20" w:after="20"/>
            </w:pPr>
            <w:r>
              <w:rPr>
                <w:rFonts w:ascii="Aptos" w:hAnsi="Aptos"/>
                <w:b w:val="0"/>
                <w:sz w:val="22"/>
              </w:rPr>
              <w:t>• praca grupowa nad projektem z wykorzystaniem nowoczesnych technik informatycznych</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kolokwium</w:t>
            </w:r>
          </w:p>
          <w:p>
            <w:pPr>
              <w:spacing w:before="20" w:after="20"/>
            </w:pPr>
            <w:r>
              <w:rPr>
                <w:rFonts w:ascii="Aptos" w:hAnsi="Aptos"/>
                <w:sz w:val="22"/>
              </w:rPr>
              <w:t>2. egzamin ustny</w:t>
            </w:r>
          </w:p>
          <w:p>
            <w:pPr>
              <w:spacing w:before="20" w:after="20"/>
            </w:pPr>
            <w:r>
              <w:rPr>
                <w:rFonts w:ascii="Aptos" w:hAnsi="Aptos"/>
                <w:sz w:val="22"/>
              </w:rPr>
              <w:t>3.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JAP2</w:t>
            </w:r>
          </w:p>
        </w:tc>
        <w:tc>
          <w:tcPr>
            <w:tcW w:type="dxa" w:w="4986"/>
          </w:tcPr>
          <w:p>
            <w:pPr>
              <w:spacing w:before="20" w:after="20"/>
            </w:pPr>
            <w:r>
              <w:rPr>
                <w:rFonts w:ascii="Aptos" w:hAnsi="Aptos"/>
                <w:b w:val="0"/>
                <w:i w:val="0"/>
                <w:sz w:val="22"/>
              </w:rPr>
              <w:t>Znajomość zagadnień z JAP2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Nauczanie języka japońskiego od podstaw. Student  opanowuje język japoński w stopniu pozwalającym na komunikację językową w większości sytuacji dnia codziennego i częściowo zawodowego, wyrażanie myśli i opinii, rozumienie i tworzenie krótkich tekstów pisanych i wypowiedzi ustnych na różne tematy. Student poznaje elementy kultury, historii i realiów życia codziennego w Japonii i krajach obszaru języka japońskiego.</w:t>
            </w:r>
          </w:p>
          <w:p>
            <w:pPr>
              <w:spacing w:before="80" w:after="20"/>
            </w:pPr>
            <w:r>
              <w:rPr>
                <w:rFonts w:ascii="Aptos" w:hAnsi="Aptos"/>
                <w:b/>
                <w:sz w:val="22"/>
              </w:rPr>
              <w:t>Abstrakt po angielsku:</w:t>
            </w:r>
          </w:p>
          <w:p>
            <w:pPr>
              <w:spacing w:before="20" w:after="20"/>
            </w:pPr>
            <w:r>
              <w:rPr>
                <w:rFonts w:ascii="Aptos" w:hAnsi="Aptos"/>
                <w:i/>
                <w:sz w:val="22"/>
              </w:rPr>
              <w:t>Japanese language instruction from scratch. Students acquire Japanese proficiency enabling communication in most everyday situations and, to some extent, professional contexts, as well as expressing thoughts and opinions and understanding and producing short written texts and spoken statements on various topics. Students also learn about the culture, history, and everyday life of Japan and Japanese-speaking regions.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1. Nowe kanji, przypomnienie czasowników i budowanie zdań.</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2. Przypomnienie znaków kanji i budowanie zdań.</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3. Zadania ze słuchu – porównania.</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4. Nauka znaków katakany ma,mi,mu,me,mo, ya,yu,yo, ra,ri,ru,re,ro,wa,wo,n / TEST (zdania z życia codziennego).</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5.  Zadania z tekstem „ moje miasto” – analiza tekstu i poznanie nowych słów.</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6.  Zadania z tekstem „ różne obrazy” – analiza tekstu i poznanie nowych słów.</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7.  Zadania z tekstem „ jak dojechać do…..” – analiza tekstu i poznanie nowych słów.</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8.  PRACA PISEMNA(wypracowanie) – opisać wybrany obraz</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9.  Zadania z tekstem „ wywiad z mieszkańcem” – analiza tekstu i poznanie nowych słów.</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10.  Zadania z tekstem „ moja firma” – analiza tekstu i poznanie nowych słów.</w:t>
            </w:r>
          </w:p>
        </w:tc>
      </w:tr>
      <w:tr>
        <w:tc>
          <w:tcPr>
            <w:tcW w:type="dxa" w:w="680"/>
          </w:tcPr>
          <w:p>
            <w:pPr>
              <w:spacing w:before="20" w:after="20"/>
            </w:pPr>
            <w:r>
              <w:rPr>
                <w:rFonts w:ascii="Aptos" w:hAnsi="Aptos"/>
                <w:b w:val="0"/>
                <w:i w:val="0"/>
                <w:sz w:val="22"/>
              </w:rPr>
              <w:t>11.</w:t>
            </w:r>
          </w:p>
        </w:tc>
        <w:tc>
          <w:tcPr>
            <w:tcW w:type="dxa" w:w="8788"/>
          </w:tcPr>
          <w:p>
            <w:pPr>
              <w:spacing w:before="20" w:after="20"/>
            </w:pPr>
            <w:r>
              <w:rPr>
                <w:rFonts w:ascii="Aptos" w:hAnsi="Aptos"/>
                <w:b w:val="0"/>
                <w:i w:val="0"/>
                <w:sz w:val="22"/>
              </w:rPr>
              <w:t>11.  PRACA PISEMNA(wypracowanie) – opisać swoją firmę</w:t>
            </w:r>
          </w:p>
        </w:tc>
      </w:tr>
      <w:tr>
        <w:tc>
          <w:tcPr>
            <w:tcW w:type="dxa" w:w="680"/>
          </w:tcPr>
          <w:p>
            <w:pPr>
              <w:spacing w:before="20" w:after="20"/>
            </w:pPr>
            <w:r>
              <w:rPr>
                <w:rFonts w:ascii="Aptos" w:hAnsi="Aptos"/>
                <w:b w:val="0"/>
                <w:i w:val="0"/>
                <w:sz w:val="22"/>
              </w:rPr>
              <w:t>12.</w:t>
            </w:r>
          </w:p>
        </w:tc>
        <w:tc>
          <w:tcPr>
            <w:tcW w:type="dxa" w:w="8788"/>
          </w:tcPr>
          <w:p>
            <w:pPr>
              <w:spacing w:before="20" w:after="20"/>
            </w:pPr>
            <w:r>
              <w:rPr>
                <w:rFonts w:ascii="Aptos" w:hAnsi="Aptos"/>
                <w:b w:val="0"/>
                <w:i w:val="0"/>
                <w:sz w:val="22"/>
              </w:rPr>
              <w:t>12.  Język formalny i język nieformalny – porównanie i budowanie zdań – wprowadzenie, TEST Z KANJI</w:t>
            </w:r>
          </w:p>
        </w:tc>
      </w:tr>
      <w:tr>
        <w:tc>
          <w:tcPr>
            <w:tcW w:type="dxa" w:w="680"/>
          </w:tcPr>
          <w:p>
            <w:pPr>
              <w:spacing w:before="20" w:after="20"/>
            </w:pPr>
            <w:r>
              <w:rPr>
                <w:rFonts w:ascii="Aptos" w:hAnsi="Aptos"/>
                <w:b w:val="0"/>
                <w:i w:val="0"/>
                <w:sz w:val="22"/>
              </w:rPr>
              <w:t>13.</w:t>
            </w:r>
          </w:p>
        </w:tc>
        <w:tc>
          <w:tcPr>
            <w:tcW w:type="dxa" w:w="8788"/>
          </w:tcPr>
          <w:p>
            <w:pPr>
              <w:spacing w:before="20" w:after="20"/>
            </w:pPr>
            <w:r>
              <w:rPr>
                <w:rFonts w:ascii="Aptos" w:hAnsi="Aptos"/>
                <w:b w:val="0"/>
                <w:i w:val="0"/>
                <w:sz w:val="22"/>
              </w:rPr>
              <w:t>13.  Język formalny i język nieformalny – porównanie i budowanie zdań i zadania ze słuchu</w:t>
            </w:r>
          </w:p>
        </w:tc>
      </w:tr>
      <w:tr>
        <w:tc>
          <w:tcPr>
            <w:tcW w:type="dxa" w:w="680"/>
          </w:tcPr>
          <w:p>
            <w:pPr>
              <w:spacing w:before="20" w:after="20"/>
            </w:pPr>
            <w:r>
              <w:rPr>
                <w:rFonts w:ascii="Aptos" w:hAnsi="Aptos"/>
                <w:b w:val="0"/>
                <w:i w:val="0"/>
                <w:sz w:val="22"/>
              </w:rPr>
              <w:t>14.</w:t>
            </w:r>
          </w:p>
        </w:tc>
        <w:tc>
          <w:tcPr>
            <w:tcW w:type="dxa" w:w="8788"/>
          </w:tcPr>
          <w:p>
            <w:pPr>
              <w:spacing w:before="20" w:after="20"/>
            </w:pPr>
            <w:r>
              <w:rPr>
                <w:rFonts w:ascii="Aptos" w:hAnsi="Aptos"/>
                <w:b w:val="0"/>
                <w:i w:val="0"/>
                <w:sz w:val="22"/>
              </w:rPr>
              <w:t>14.  Język formalny i język nieformalny – oglądanie filmu i analiza tekstu pt. moje wakacje</w:t>
            </w:r>
          </w:p>
        </w:tc>
      </w:tr>
      <w:tr>
        <w:tc>
          <w:tcPr>
            <w:tcW w:type="dxa" w:w="680"/>
          </w:tcPr>
          <w:p>
            <w:pPr>
              <w:spacing w:before="20" w:after="20"/>
            </w:pPr>
            <w:r>
              <w:rPr>
                <w:rFonts w:ascii="Aptos" w:hAnsi="Aptos"/>
                <w:b w:val="0"/>
                <w:i w:val="0"/>
                <w:sz w:val="22"/>
              </w:rPr>
              <w:t>15.</w:t>
            </w:r>
          </w:p>
        </w:tc>
        <w:tc>
          <w:tcPr>
            <w:tcW w:type="dxa" w:w="8788"/>
          </w:tcPr>
          <w:p>
            <w:pPr>
              <w:spacing w:before="20" w:after="20"/>
            </w:pPr>
            <w:r>
              <w:rPr>
                <w:rFonts w:ascii="Aptos" w:hAnsi="Aptos"/>
                <w:b w:val="0"/>
                <w:i w:val="0"/>
                <w:sz w:val="22"/>
              </w:rPr>
              <w:t>15.  Forma tari..tari…. i budowanie zdań z nową formą gramatyczną</w:t>
            </w:r>
          </w:p>
        </w:tc>
      </w:tr>
      <w:tr>
        <w:tc>
          <w:tcPr>
            <w:tcW w:type="dxa" w:w="680"/>
          </w:tcPr>
          <w:p>
            <w:pPr>
              <w:spacing w:before="20" w:after="20"/>
            </w:pPr>
            <w:r>
              <w:rPr>
                <w:rFonts w:ascii="Aptos" w:hAnsi="Aptos"/>
                <w:b w:val="0"/>
                <w:i w:val="0"/>
                <w:sz w:val="22"/>
              </w:rPr>
              <w:t>16.</w:t>
            </w:r>
          </w:p>
        </w:tc>
        <w:tc>
          <w:tcPr>
            <w:tcW w:type="dxa" w:w="8788"/>
          </w:tcPr>
          <w:p>
            <w:pPr>
              <w:spacing w:before="20" w:after="20"/>
            </w:pPr>
            <w:r>
              <w:rPr>
                <w:rFonts w:ascii="Aptos" w:hAnsi="Aptos"/>
                <w:b w:val="0"/>
                <w:i w:val="0"/>
                <w:sz w:val="22"/>
              </w:rPr>
              <w:t>16.  Nowe znaki kanji i budowanie z nimi zdań</w:t>
            </w:r>
          </w:p>
        </w:tc>
      </w:tr>
      <w:tr>
        <w:tc>
          <w:tcPr>
            <w:tcW w:type="dxa" w:w="680"/>
          </w:tcPr>
          <w:p>
            <w:pPr>
              <w:spacing w:before="20" w:after="20"/>
            </w:pPr>
            <w:r>
              <w:rPr>
                <w:rFonts w:ascii="Aptos" w:hAnsi="Aptos"/>
                <w:b w:val="0"/>
                <w:i w:val="0"/>
                <w:sz w:val="22"/>
              </w:rPr>
              <w:t>17.</w:t>
            </w:r>
          </w:p>
        </w:tc>
        <w:tc>
          <w:tcPr>
            <w:tcW w:type="dxa" w:w="8788"/>
          </w:tcPr>
          <w:p>
            <w:pPr>
              <w:spacing w:before="20" w:after="20"/>
            </w:pPr>
            <w:r>
              <w:rPr>
                <w:rFonts w:ascii="Aptos" w:hAnsi="Aptos"/>
                <w:b w:val="0"/>
                <w:i w:val="0"/>
                <w:sz w:val="22"/>
              </w:rPr>
              <w:t>17. Zdania przydawkowe i budowanie zdań – zadania ze słuchu</w:t>
            </w:r>
          </w:p>
        </w:tc>
      </w:tr>
      <w:tr>
        <w:tc>
          <w:tcPr>
            <w:tcW w:type="dxa" w:w="680"/>
          </w:tcPr>
          <w:p>
            <w:pPr>
              <w:spacing w:before="20" w:after="20"/>
            </w:pPr>
            <w:r>
              <w:rPr>
                <w:rFonts w:ascii="Aptos" w:hAnsi="Aptos"/>
                <w:b w:val="0"/>
                <w:i w:val="0"/>
                <w:sz w:val="22"/>
              </w:rPr>
              <w:t>18.</w:t>
            </w:r>
          </w:p>
        </w:tc>
        <w:tc>
          <w:tcPr>
            <w:tcW w:type="dxa" w:w="8788"/>
          </w:tcPr>
          <w:p>
            <w:pPr>
              <w:spacing w:before="20" w:after="20"/>
            </w:pPr>
            <w:r>
              <w:rPr>
                <w:rFonts w:ascii="Aptos" w:hAnsi="Aptos"/>
                <w:b w:val="0"/>
                <w:i w:val="0"/>
                <w:sz w:val="22"/>
              </w:rPr>
              <w:t>18. Forma kotogaarimasu, kotogaarimashita/ zadania z nową formą gramatyczną + budowanie zdań</w:t>
            </w:r>
          </w:p>
        </w:tc>
      </w:tr>
      <w:tr>
        <w:tc>
          <w:tcPr>
            <w:tcW w:type="dxa" w:w="680"/>
          </w:tcPr>
          <w:p>
            <w:pPr>
              <w:spacing w:before="20" w:after="20"/>
            </w:pPr>
            <w:r>
              <w:rPr>
                <w:rFonts w:ascii="Aptos" w:hAnsi="Aptos"/>
                <w:b w:val="0"/>
                <w:i w:val="0"/>
                <w:sz w:val="22"/>
              </w:rPr>
              <w:t>19.</w:t>
            </w:r>
          </w:p>
        </w:tc>
        <w:tc>
          <w:tcPr>
            <w:tcW w:type="dxa" w:w="8788"/>
          </w:tcPr>
          <w:p>
            <w:pPr>
              <w:spacing w:before="20" w:after="20"/>
            </w:pPr>
            <w:r>
              <w:rPr>
                <w:rFonts w:ascii="Aptos" w:hAnsi="Aptos"/>
                <w:b w:val="0"/>
                <w:i w:val="0"/>
                <w:sz w:val="22"/>
              </w:rPr>
              <w:t>19.  Forma gramatyczna nai – przypomnienie – budowanie zdań</w:t>
            </w:r>
          </w:p>
        </w:tc>
      </w:tr>
      <w:tr>
        <w:tc>
          <w:tcPr>
            <w:tcW w:type="dxa" w:w="680"/>
          </w:tcPr>
          <w:p>
            <w:pPr>
              <w:spacing w:before="20" w:after="20"/>
            </w:pPr>
            <w:r>
              <w:rPr>
                <w:rFonts w:ascii="Aptos" w:hAnsi="Aptos"/>
                <w:b w:val="0"/>
                <w:i w:val="0"/>
                <w:sz w:val="22"/>
              </w:rPr>
              <w:t>20.</w:t>
            </w:r>
          </w:p>
        </w:tc>
        <w:tc>
          <w:tcPr>
            <w:tcW w:type="dxa" w:w="8788"/>
          </w:tcPr>
          <w:p>
            <w:pPr>
              <w:spacing w:before="20" w:after="20"/>
            </w:pPr>
            <w:r>
              <w:rPr>
                <w:rFonts w:ascii="Aptos" w:hAnsi="Aptos"/>
                <w:b w:val="0"/>
                <w:i w:val="0"/>
                <w:sz w:val="22"/>
              </w:rPr>
              <w:t>20.  Forma gramatyczna  nakerebanarimasen i budowanie zdań, Nowe znaki kanji i budowanie z nimi zdań</w:t>
            </w:r>
          </w:p>
        </w:tc>
      </w:tr>
      <w:tr>
        <w:tc>
          <w:tcPr>
            <w:tcW w:type="dxa" w:w="680"/>
          </w:tcPr>
          <w:p>
            <w:pPr>
              <w:spacing w:before="20" w:after="20"/>
            </w:pPr>
            <w:r>
              <w:rPr>
                <w:rFonts w:ascii="Aptos" w:hAnsi="Aptos"/>
                <w:b w:val="0"/>
                <w:i w:val="0"/>
                <w:sz w:val="22"/>
              </w:rPr>
              <w:t>21.</w:t>
            </w:r>
          </w:p>
        </w:tc>
        <w:tc>
          <w:tcPr>
            <w:tcW w:type="dxa" w:w="8788"/>
          </w:tcPr>
          <w:p>
            <w:pPr>
              <w:spacing w:before="20" w:after="20"/>
            </w:pPr>
            <w:r>
              <w:rPr>
                <w:rFonts w:ascii="Aptos" w:hAnsi="Aptos"/>
                <w:b w:val="0"/>
                <w:i w:val="0"/>
                <w:sz w:val="22"/>
              </w:rPr>
              <w:t>21. Forma gramatyczna nakutemoiidesu i budowanie zdań, nowe znaki kanji, TEST Z KANJI</w:t>
            </w:r>
          </w:p>
        </w:tc>
      </w:tr>
      <w:tr>
        <w:tc>
          <w:tcPr>
            <w:tcW w:type="dxa" w:w="680"/>
          </w:tcPr>
          <w:p>
            <w:pPr>
              <w:spacing w:before="20" w:after="20"/>
            </w:pPr>
            <w:r>
              <w:rPr>
                <w:rFonts w:ascii="Aptos" w:hAnsi="Aptos"/>
                <w:b w:val="0"/>
                <w:i w:val="0"/>
                <w:sz w:val="22"/>
              </w:rPr>
              <w:t>22.</w:t>
            </w:r>
          </w:p>
        </w:tc>
        <w:tc>
          <w:tcPr>
            <w:tcW w:type="dxa" w:w="8788"/>
          </w:tcPr>
          <w:p>
            <w:pPr>
              <w:spacing w:before="20" w:after="20"/>
            </w:pPr>
            <w:r>
              <w:rPr>
                <w:rFonts w:ascii="Aptos" w:hAnsi="Aptos"/>
                <w:b w:val="0"/>
                <w:i w:val="0"/>
                <w:sz w:val="22"/>
              </w:rPr>
              <w:t>22. Forma gramatyczna naidekudasai i budowanie zdań, nowe znaki kanji</w:t>
            </w:r>
          </w:p>
        </w:tc>
      </w:tr>
      <w:tr>
        <w:tc>
          <w:tcPr>
            <w:tcW w:type="dxa" w:w="680"/>
          </w:tcPr>
          <w:p>
            <w:pPr>
              <w:spacing w:before="20" w:after="20"/>
            </w:pPr>
            <w:r>
              <w:rPr>
                <w:rFonts w:ascii="Aptos" w:hAnsi="Aptos"/>
                <w:b w:val="0"/>
                <w:i w:val="0"/>
                <w:sz w:val="22"/>
              </w:rPr>
              <w:t>23.</w:t>
            </w:r>
          </w:p>
        </w:tc>
        <w:tc>
          <w:tcPr>
            <w:tcW w:type="dxa" w:w="8788"/>
          </w:tcPr>
          <w:p>
            <w:pPr>
              <w:spacing w:before="20" w:after="20"/>
            </w:pPr>
            <w:r>
              <w:rPr>
                <w:rFonts w:ascii="Aptos" w:hAnsi="Aptos"/>
                <w:b w:val="0"/>
                <w:i w:val="0"/>
                <w:sz w:val="22"/>
              </w:rPr>
              <w:t>23. Słuchanie – tematyka związana z życiem i czas teraźniejszy-ciągły nowe znaki kanji</w:t>
            </w:r>
          </w:p>
        </w:tc>
      </w:tr>
      <w:tr>
        <w:tc>
          <w:tcPr>
            <w:tcW w:type="dxa" w:w="680"/>
          </w:tcPr>
          <w:p>
            <w:pPr>
              <w:spacing w:before="20" w:after="20"/>
            </w:pPr>
            <w:r>
              <w:rPr>
                <w:rFonts w:ascii="Aptos" w:hAnsi="Aptos"/>
                <w:b w:val="0"/>
                <w:i w:val="0"/>
                <w:sz w:val="22"/>
              </w:rPr>
              <w:t>24.</w:t>
            </w:r>
          </w:p>
        </w:tc>
        <w:tc>
          <w:tcPr>
            <w:tcW w:type="dxa" w:w="8788"/>
          </w:tcPr>
          <w:p>
            <w:pPr>
              <w:spacing w:before="20" w:after="20"/>
            </w:pPr>
            <w:r>
              <w:rPr>
                <w:rFonts w:ascii="Aptos" w:hAnsi="Aptos"/>
                <w:b w:val="0"/>
                <w:i w:val="0"/>
                <w:sz w:val="22"/>
              </w:rPr>
              <w:t>24.  Nowe znaki kanji i budowanie z nimi zdań, gramatyka: toki, maeni, atode, nagara.</w:t>
            </w:r>
          </w:p>
        </w:tc>
      </w:tr>
      <w:tr>
        <w:tc>
          <w:tcPr>
            <w:tcW w:type="dxa" w:w="680"/>
          </w:tcPr>
          <w:p>
            <w:pPr>
              <w:spacing w:before="20" w:after="20"/>
            </w:pPr>
            <w:r>
              <w:rPr>
                <w:rFonts w:ascii="Aptos" w:hAnsi="Aptos"/>
                <w:b w:val="0"/>
                <w:i w:val="0"/>
                <w:sz w:val="22"/>
              </w:rPr>
              <w:t>25.</w:t>
            </w:r>
          </w:p>
        </w:tc>
        <w:tc>
          <w:tcPr>
            <w:tcW w:type="dxa" w:w="8788"/>
          </w:tcPr>
          <w:p>
            <w:pPr>
              <w:spacing w:before="20" w:after="20"/>
            </w:pPr>
            <w:r>
              <w:rPr>
                <w:rFonts w:ascii="Aptos" w:hAnsi="Aptos"/>
                <w:b w:val="0"/>
                <w:i w:val="0"/>
                <w:sz w:val="22"/>
              </w:rPr>
              <w:t>25.  Próbne testy JLPT ; kanji, gramatyka, czytanki i słuchanie.</w:t>
            </w:r>
          </w:p>
        </w:tc>
      </w:tr>
      <w:tr>
        <w:tc>
          <w:tcPr>
            <w:tcW w:type="dxa" w:w="680"/>
          </w:tcPr>
          <w:p>
            <w:pPr>
              <w:spacing w:before="20" w:after="20"/>
            </w:pPr>
            <w:r>
              <w:rPr>
                <w:rFonts w:ascii="Aptos" w:hAnsi="Aptos"/>
                <w:b w:val="0"/>
                <w:i w:val="0"/>
                <w:sz w:val="22"/>
              </w:rPr>
              <w:t>26.</w:t>
            </w:r>
          </w:p>
        </w:tc>
        <w:tc>
          <w:tcPr>
            <w:tcW w:type="dxa" w:w="8788"/>
          </w:tcPr>
          <w:p>
            <w:pPr>
              <w:spacing w:before="20" w:after="20"/>
            </w:pPr>
            <w:r>
              <w:rPr>
                <w:rFonts w:ascii="Aptos" w:hAnsi="Aptos"/>
                <w:b w:val="0"/>
                <w:i w:val="0"/>
                <w:sz w:val="22"/>
              </w:rPr>
              <w:t>26.  Nowe kanji i budowanie zdań.</w:t>
            </w:r>
          </w:p>
        </w:tc>
      </w:tr>
      <w:tr>
        <w:tc>
          <w:tcPr>
            <w:tcW w:type="dxa" w:w="680"/>
          </w:tcPr>
          <w:p>
            <w:pPr>
              <w:spacing w:before="20" w:after="20"/>
            </w:pPr>
            <w:r>
              <w:rPr>
                <w:rFonts w:ascii="Aptos" w:hAnsi="Aptos"/>
                <w:b w:val="0"/>
                <w:i w:val="0"/>
                <w:sz w:val="22"/>
              </w:rPr>
              <w:t>27.</w:t>
            </w:r>
          </w:p>
        </w:tc>
        <w:tc>
          <w:tcPr>
            <w:tcW w:type="dxa" w:w="8788"/>
          </w:tcPr>
          <w:p>
            <w:pPr>
              <w:spacing w:before="20" w:after="20"/>
            </w:pPr>
            <w:r>
              <w:rPr>
                <w:rFonts w:ascii="Aptos" w:hAnsi="Aptos"/>
                <w:b w:val="0"/>
                <w:i w:val="0"/>
                <w:sz w:val="22"/>
              </w:rPr>
              <w:t>27.  Nowe kanji,  Próbne testy JLPT ; kanji, gramatyka, czytanki i słuchanie .</w:t>
            </w:r>
          </w:p>
        </w:tc>
      </w:tr>
      <w:tr>
        <w:tc>
          <w:tcPr>
            <w:tcW w:type="dxa" w:w="680"/>
          </w:tcPr>
          <w:p>
            <w:pPr>
              <w:spacing w:before="20" w:after="20"/>
            </w:pPr>
            <w:r>
              <w:rPr>
                <w:rFonts w:ascii="Aptos" w:hAnsi="Aptos"/>
                <w:b w:val="0"/>
                <w:i w:val="0"/>
                <w:sz w:val="22"/>
              </w:rPr>
              <w:t>28.</w:t>
            </w:r>
          </w:p>
        </w:tc>
        <w:tc>
          <w:tcPr>
            <w:tcW w:type="dxa" w:w="8788"/>
          </w:tcPr>
          <w:p>
            <w:pPr>
              <w:spacing w:before="20" w:after="20"/>
            </w:pPr>
            <w:r>
              <w:rPr>
                <w:rFonts w:ascii="Aptos" w:hAnsi="Aptos"/>
                <w:b w:val="0"/>
                <w:i w:val="0"/>
                <w:sz w:val="22"/>
              </w:rPr>
              <w:t>28.  Próbne testy JLPT ; kanji, gramatyka, czytanki i słuchanie.</w:t>
            </w:r>
          </w:p>
        </w:tc>
      </w:tr>
      <w:tr>
        <w:tc>
          <w:tcPr>
            <w:tcW w:type="dxa" w:w="680"/>
          </w:tcPr>
          <w:p>
            <w:pPr>
              <w:spacing w:before="20" w:after="20"/>
            </w:pPr>
            <w:r>
              <w:rPr>
                <w:rFonts w:ascii="Aptos" w:hAnsi="Aptos"/>
                <w:b w:val="0"/>
                <w:i w:val="0"/>
                <w:sz w:val="22"/>
              </w:rPr>
              <w:t>29.</w:t>
            </w:r>
          </w:p>
        </w:tc>
        <w:tc>
          <w:tcPr>
            <w:tcW w:type="dxa" w:w="8788"/>
          </w:tcPr>
          <w:p>
            <w:pPr>
              <w:spacing w:before="20" w:after="20"/>
            </w:pPr>
            <w:r>
              <w:rPr>
                <w:rFonts w:ascii="Aptos" w:hAnsi="Aptos"/>
                <w:b w:val="0"/>
                <w:i w:val="0"/>
                <w:sz w:val="22"/>
              </w:rPr>
              <w:t>29.  Powtórzenie materiału z całego semestru – budowanie zdań.</w:t>
            </w:r>
          </w:p>
        </w:tc>
      </w:tr>
      <w:tr>
        <w:tc>
          <w:tcPr>
            <w:tcW w:type="dxa" w:w="680"/>
          </w:tcPr>
          <w:p>
            <w:pPr>
              <w:spacing w:before="20" w:after="20"/>
            </w:pPr>
            <w:r>
              <w:rPr>
                <w:rFonts w:ascii="Aptos" w:hAnsi="Aptos"/>
                <w:b w:val="0"/>
                <w:i w:val="0"/>
                <w:sz w:val="22"/>
              </w:rPr>
              <w:t>30.</w:t>
            </w:r>
          </w:p>
        </w:tc>
        <w:tc>
          <w:tcPr>
            <w:tcW w:type="dxa" w:w="8788"/>
          </w:tcPr>
          <w:p>
            <w:pPr>
              <w:spacing w:before="20" w:after="20"/>
            </w:pPr>
            <w:r>
              <w:rPr>
                <w:rFonts w:ascii="Aptos" w:hAnsi="Aptos"/>
                <w:b w:val="0"/>
                <w:i w:val="0"/>
                <w:sz w:val="22"/>
              </w:rPr>
              <w:t>30.  Kolokwium zaliczeniowe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L. Czernichowska-Kramarz Japoński w obrazkach. Słownik, rozmówki, gramatyka wyd. Edgar</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Materiały własne – przygotowane przez lektorkę Lindę Czernichowską-Kramarz na podstawie własnych pomysłów oraz różnych książek</w:t>
            </w:r>
          </w:p>
          <w:p>
            <w:pPr>
              <w:spacing w:before="20" w:after="20"/>
            </w:pPr>
            <w:r>
              <w:rPr>
                <w:rFonts w:ascii="Aptos" w:hAnsi="Aptos"/>
                <w:sz w:val="22"/>
              </w:rPr>
              <w:t>2. Minna no nihongo I – główny podręcznik  wyd. 3anetwork Japonia</w:t>
            </w:r>
          </w:p>
          <w:p>
            <w:pPr>
              <w:spacing w:before="20" w:after="20"/>
            </w:pPr>
            <w:r>
              <w:rPr>
                <w:rFonts w:ascii="Aptos" w:hAnsi="Aptos"/>
                <w:sz w:val="22"/>
              </w:rPr>
              <w:t>3. Minna no nihongo I choukai– słuchanie  wyd. 3anetwork Japonia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pisać abstrakt, streszczenie, pisać wykres, diagram, list motywacyjny i CV wykorzystując słownictwo i struktury gramatyczne w odpowiednim kontekście.</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konstruować wypowiedź ustną i pisemną poprawną pod względem logicznym i merytorycznym wdrażając słownictwo specjalistyczne i biznesowe</w:t>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permanentnego doskonalenia kompetencji językowych w celach zawodowych.</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ciągłego samokształcenia własnych kompetencji językowych oraz dostrzega potrzebę podejmowania inicjatyw w dziedzinach biznesowych.</w:t>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