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Aptos" w:hAnsi="Aptos"/>
          <w:b/>
          <w:sz w:val="26"/>
        </w:rPr>
        <w:t>SYLABUS</w:t>
      </w:r>
    </w:p>
    <w:p>
      <w:pPr>
        <w:spacing w:before="0" w:after="40"/>
        <w:jc w:val="center"/>
      </w:pPr>
      <w:r>
        <w:rPr>
          <w:rFonts w:ascii="Aptos" w:hAnsi="Aptos"/>
          <w:b/>
          <w:sz w:val="20"/>
        </w:rPr>
        <w:t>Polsko-Japonska Akademia Technik Komputerowych Filia w Gdansku</w:t>
      </w:r>
    </w:p>
    <w:p>
      <w:pPr>
        <w:spacing w:before="0" w:after="80"/>
        <w:jc w:val="center"/>
      </w:pPr>
      <w:r>
        <w:rPr>
          <w:rFonts w:ascii="Aptos" w:hAnsi="Aptos"/>
          <w:sz w:val="20"/>
        </w:rPr>
        <w:t>Kierunek: INFORMATYKA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2493"/>
        <w:gridCol w:w="2493"/>
        <w:gridCol w:w="2493"/>
        <w:gridCol w:w="2493"/>
      </w:tblGrid>
      <w:tr>
        <w:tc>
          <w:tcPr>
            <w:tcW w:type="dxa" w:w="4986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1.  Nazwa polska przedmiotu:</w:t>
            </w:r>
          </w:p>
        </w:tc>
        <w:tc>
          <w:tcPr>
            <w:tcW w:type="dxa" w:w="4986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2.  Wersja z dnia:</w:t>
            </w:r>
          </w:p>
        </w:tc>
      </w:tr>
      <w:tr>
        <w:tc>
          <w:tcPr>
            <w:tcW w:type="dxa" w:w="4986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Podstawy Programowania</w:t>
            </w:r>
          </w:p>
        </w:tc>
        <w:tc>
          <w:tcPr>
            <w:tcW w:type="dxa" w:w="4986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19.02.2026</w:t>
            </w:r>
          </w:p>
        </w:tc>
      </w:tr>
      <w:tr>
        <w:tc>
          <w:tcPr>
            <w:tcW w:type="dxa" w:w="4986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3.  Nazwa angielska przedmiotu:</w:t>
            </w:r>
          </w:p>
        </w:tc>
        <w:tc>
          <w:tcPr>
            <w:tcW w:type="dxa" w:w="4986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4.  Kod przedmiotu:</w:t>
            </w:r>
          </w:p>
        </w:tc>
      </w:tr>
      <w:tr>
        <w:tc>
          <w:tcPr>
            <w:tcW w:type="dxa" w:w="4986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4986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PRG1</w:t>
            </w:r>
          </w:p>
        </w:tc>
      </w:tr>
      <w:tr>
        <w:tc>
          <w:tcPr>
            <w:tcW w:type="dxa" w:w="4986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5.  Nazwa jednostki prowadzącej przedmiot:</w:t>
            </w:r>
          </w:p>
        </w:tc>
        <w:tc>
          <w:tcPr>
            <w:tcW w:type="dxa" w:w="4986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6.  Liczba punktów ECTS:</w:t>
            </w:r>
          </w:p>
        </w:tc>
      </w:tr>
      <w:tr>
        <w:tc>
          <w:tcPr>
            <w:tcW w:type="dxa" w:w="4986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Filia w Gdansku</w:t>
            </w:r>
          </w:p>
        </w:tc>
        <w:tc>
          <w:tcPr>
            <w:tcW w:type="dxa" w:w="4986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5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9972"/>
            <w:gridSpan w:val="6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7.  Studia</w:t>
            </w:r>
          </w:p>
        </w:tc>
      </w:tr>
      <w:tr>
        <w:tc>
          <w:tcPr>
            <w:tcW w:type="dxa" w:w="166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kierunek</w:t>
            </w:r>
          </w:p>
        </w:tc>
        <w:tc>
          <w:tcPr>
            <w:tcW w:type="dxa" w:w="166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stopień</w:t>
            </w:r>
          </w:p>
        </w:tc>
        <w:tc>
          <w:tcPr>
            <w:tcW w:type="dxa" w:w="166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forma studiów</w:t>
            </w:r>
          </w:p>
        </w:tc>
        <w:tc>
          <w:tcPr>
            <w:tcW w:type="dxa" w:w="166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zakres specjalizacyjny</w:t>
            </w:r>
          </w:p>
        </w:tc>
        <w:tc>
          <w:tcPr>
            <w:tcW w:type="dxa" w:w="166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profil</w:t>
            </w:r>
          </w:p>
        </w:tc>
        <w:tc>
          <w:tcPr>
            <w:tcW w:type="dxa" w:w="166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semestr nauczania</w:t>
            </w:r>
          </w:p>
        </w:tc>
      </w:tr>
      <w:tr>
        <w:tc>
          <w:tcPr>
            <w:tcW w:type="dxa" w:w="166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INFORMATYKA</w:t>
            </w:r>
          </w:p>
        </w:tc>
        <w:tc>
          <w:tcPr>
            <w:tcW w:type="dxa" w:w="166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I</w:t>
            </w:r>
          </w:p>
        </w:tc>
        <w:tc>
          <w:tcPr>
            <w:tcW w:type="dxa" w:w="166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niestacjonarny</w:t>
            </w:r>
          </w:p>
        </w:tc>
        <w:tc>
          <w:tcPr>
            <w:tcW w:type="dxa" w:w="166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obligatoryjny</w:t>
            </w:r>
          </w:p>
        </w:tc>
        <w:tc>
          <w:tcPr>
            <w:tcW w:type="dxa" w:w="166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praktyczny</w:t>
            </w:r>
          </w:p>
        </w:tc>
        <w:tc>
          <w:tcPr>
            <w:tcW w:type="dxa" w:w="166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1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2"/>
      </w:tblGrid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8.  Osoba odpowiedzialna za przedmiot: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mgr inż. Adam Urbanowicz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"/>
        <w:gridCol w:w="997"/>
        <w:gridCol w:w="997"/>
        <w:gridCol w:w="997"/>
        <w:gridCol w:w="997"/>
        <w:gridCol w:w="997"/>
        <w:gridCol w:w="997"/>
        <w:gridCol w:w="997"/>
        <w:gridCol w:w="997"/>
        <w:gridCol w:w="997"/>
      </w:tblGrid>
      <w:tr>
        <w:tc>
          <w:tcPr>
            <w:tcW w:type="dxa" w:w="9970"/>
            <w:gridSpan w:val="10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9.  Formy zajęć, sposób ich realizacji i przypisana im liczba godzin:</w:t>
            </w:r>
          </w:p>
        </w:tc>
      </w:tr>
      <w:tr>
        <w:tc>
          <w:tcPr>
            <w:tcW w:type="dxa" w:w="9970"/>
            <w:gridSpan w:val="10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16"/>
              </w:rPr>
              <w:t>Wymiar godzinowy (liczba godzin w semestrze)</w:t>
            </w:r>
          </w:p>
        </w:tc>
      </w:tr>
      <w:tr>
        <w:tc>
          <w:tcPr>
            <w:tcW w:type="dxa" w:w="1994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wykład</w:t>
            </w:r>
          </w:p>
        </w:tc>
        <w:tc>
          <w:tcPr>
            <w:tcW w:type="dxa" w:w="2991"/>
            <w:gridSpan w:val="3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ćwiczenia/laboratorium/pracownia</w:t>
            </w:r>
          </w:p>
        </w:tc>
        <w:tc>
          <w:tcPr>
            <w:tcW w:type="dxa" w:w="2991"/>
            <w:gridSpan w:val="3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wykład internetowo</w:t>
            </w:r>
          </w:p>
        </w:tc>
        <w:tc>
          <w:tcPr>
            <w:tcW w:type="dxa" w:w="1994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ćw./lab./prac. internetowo</w:t>
            </w:r>
          </w:p>
        </w:tc>
      </w:tr>
      <w:tr>
        <w:tc>
          <w:tcPr>
            <w:tcW w:type="dxa" w:w="1994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16</w:t>
            </w:r>
          </w:p>
        </w:tc>
        <w:tc>
          <w:tcPr>
            <w:tcW w:type="dxa" w:w="2991"/>
            <w:gridSpan w:val="3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24</w:t>
            </w:r>
          </w:p>
        </w:tc>
        <w:tc>
          <w:tcPr>
            <w:tcW w:type="dxa" w:w="2991"/>
            <w:gridSpan w:val="3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—</w:t>
            </w:r>
          </w:p>
        </w:tc>
        <w:tc>
          <w:tcPr>
            <w:tcW w:type="dxa" w:w="1994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—</w:t>
            </w:r>
          </w:p>
        </w:tc>
      </w:tr>
      <w:tr>
        <w:tc>
          <w:tcPr>
            <w:tcW w:type="dxa" w:w="9970"/>
            <w:gridSpan w:val="10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Bilans ECTS</w:t>
            </w:r>
          </w:p>
        </w:tc>
      </w:tr>
      <w:tr>
        <w:tc>
          <w:tcPr>
            <w:tcW w:type="dxa" w:w="4985"/>
            <w:gridSpan w:val="5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Rodzaj nakładu pracy:</w:t>
            </w:r>
          </w:p>
        </w:tc>
        <w:tc>
          <w:tcPr>
            <w:tcW w:type="dxa" w:w="2991"/>
            <w:gridSpan w:val="3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Liczba godzin</w:t>
            </w:r>
          </w:p>
        </w:tc>
        <w:tc>
          <w:tcPr>
            <w:tcW w:type="dxa" w:w="1994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ECTS</w:t>
            </w:r>
          </w:p>
        </w:tc>
      </w:tr>
      <w:tr>
        <w:tc>
          <w:tcPr>
            <w:tcW w:type="dxa" w:w="4985"/>
            <w:gridSpan w:val="5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Zajęcia z bezpośrednim udziałem nauczyciela</w:t>
            </w:r>
          </w:p>
        </w:tc>
        <w:tc>
          <w:tcPr>
            <w:tcW w:type="dxa" w:w="2991"/>
            <w:gridSpan w:val="3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40</w:t>
            </w:r>
          </w:p>
        </w:tc>
        <w:tc>
          <w:tcPr>
            <w:tcW w:type="dxa" w:w="1994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1.6</w:t>
            </w:r>
          </w:p>
        </w:tc>
      </w:tr>
      <w:tr>
        <w:tc>
          <w:tcPr>
            <w:tcW w:type="dxa" w:w="4985"/>
            <w:gridSpan w:val="5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Samodzielna praca studenta</w:t>
            </w:r>
          </w:p>
        </w:tc>
        <w:tc>
          <w:tcPr>
            <w:tcW w:type="dxa" w:w="2991"/>
            <w:gridSpan w:val="3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85</w:t>
            </w:r>
          </w:p>
        </w:tc>
        <w:tc>
          <w:tcPr>
            <w:tcW w:type="dxa" w:w="1994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3.4</w:t>
            </w:r>
          </w:p>
        </w:tc>
      </w:tr>
      <w:tr>
        <w:tc>
          <w:tcPr>
            <w:tcW w:type="dxa" w:w="4985"/>
            <w:gridSpan w:val="5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Opis samodzielnej pracy studenta</w:t>
            </w:r>
          </w:p>
        </w:tc>
        <w:tc>
          <w:tcPr>
            <w:tcW w:type="dxa" w:w="4985"/>
            <w:gridSpan w:val="5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Samodzielne rozwiązywanie zadań programistycznych; implementacja projektu programistycznego; przygotowanie do kolokwiów; ćwiczenia algorytmiczne.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2"/>
      </w:tblGrid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10.  Język wykładowy: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polski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2"/>
      </w:tblGrid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11.  Metody dydaktyczne: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/>
                <w:sz w:val="22"/>
              </w:rPr>
              <w:t>Wykład:</w:t>
            </w:r>
          </w:p>
          <w:p>
            <w:pPr>
              <w:spacing w:before="20" w:after="20"/>
            </w:pPr>
            <w:r>
              <w:rPr>
                <w:rFonts w:ascii="Aptos" w:hAnsi="Aptos"/>
                <w:b w:val="0"/>
                <w:sz w:val="22"/>
              </w:rPr>
              <w:t>• wykład z prezentacją multimedialną</w:t>
            </w:r>
          </w:p>
          <w:p>
            <w:pPr>
              <w:spacing w:before="20" w:after="20"/>
            </w:pPr>
            <w:r>
              <w:rPr>
                <w:rFonts w:ascii="Aptos" w:hAnsi="Aptos"/>
                <w:b w:val="0"/>
                <w:sz w:val="22"/>
              </w:rPr>
              <w:t>• wykład z prezentacją oprogramowania</w:t>
            </w:r>
          </w:p>
          <w:p>
            <w:pPr>
              <w:spacing w:before="20" w:after="20"/>
            </w:pPr>
            <w:r>
              <w:rPr>
                <w:rFonts w:ascii="Aptos" w:hAnsi="Aptos"/>
                <w:b/>
                <w:sz w:val="22"/>
              </w:rPr>
              <w:t>Ćwiczenia / Laboratorium:</w:t>
            </w:r>
          </w:p>
          <w:p>
            <w:pPr>
              <w:spacing w:before="20" w:after="20"/>
            </w:pPr>
            <w:r>
              <w:rPr>
                <w:rFonts w:ascii="Aptos" w:hAnsi="Aptos"/>
                <w:b w:val="0"/>
                <w:sz w:val="22"/>
              </w:rPr>
              <w:t>• rozwiązywanie zadań</w:t>
            </w:r>
          </w:p>
          <w:p>
            <w:pPr>
              <w:spacing w:before="20" w:after="20"/>
            </w:pPr>
            <w:r>
              <w:rPr>
                <w:rFonts w:ascii="Aptos" w:hAnsi="Aptos"/>
                <w:b w:val="0"/>
                <w:sz w:val="22"/>
              </w:rPr>
              <w:t>• metoda projektów (projekt praktyczny)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4986"/>
        <w:gridCol w:w="4986"/>
      </w:tblGrid>
      <w:tr>
        <w:tc>
          <w:tcPr>
            <w:tcW w:type="dxa" w:w="9972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12.  Forma i sposób zaliczenia oraz podstawowe kryteria oceny lub wymagania egzaminacyjne:</w:t>
            </w:r>
          </w:p>
        </w:tc>
      </w:tr>
      <w:tr>
        <w:tc>
          <w:tcPr>
            <w:tcW w:type="dxa" w:w="4986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wykład</w:t>
            </w:r>
          </w:p>
        </w:tc>
        <w:tc>
          <w:tcPr>
            <w:tcW w:type="dxa" w:w="4986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ćwiczenia/laboratorium/pracownia</w:t>
            </w:r>
          </w:p>
        </w:tc>
      </w:tr>
      <w:tr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☐ Nieoceniany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☐ Zaliczenie bez oceny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☐ Zaliczenie z oceną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☐ Egzamin</w:t>
            </w:r>
          </w:p>
        </w:tc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☐ Nieoceniany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☐ Zaliczenie bez oceny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☑ Zaliczenie z oceną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☐ Egzamin</w:t>
            </w:r>
          </w:p>
        </w:tc>
      </w:tr>
      <w:tr>
        <w:tc>
          <w:tcPr>
            <w:tcW w:type="dxa" w:w="4986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kryteria oceny:</w:t>
            </w:r>
          </w:p>
        </w:tc>
        <w:tc>
          <w:tcPr>
            <w:tcW w:type="dxa" w:w="4986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kryteria oceny:</w:t>
            </w:r>
          </w:p>
        </w:tc>
      </w:tr>
      <w:tr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1. kolokwium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2. ocena pracy podczas ćwiczenia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3. ocena sporządzonego oprogramowania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4986"/>
        <w:gridCol w:w="4986"/>
      </w:tblGrid>
      <w:tr>
        <w:tc>
          <w:tcPr>
            <w:tcW w:type="dxa" w:w="9972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13.  Kompetencje niezbędne dla realizacji przedmiotu i przedmioty poprzedzające, z których one pochodzą:</w:t>
            </w:r>
          </w:p>
        </w:tc>
      </w:tr>
      <w:tr>
        <w:tc>
          <w:tcPr>
            <w:tcW w:type="dxa" w:w="4986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Nazwa przedmiotu poprzedzającego lub realizowanego równolegle</w:t>
            </w:r>
          </w:p>
        </w:tc>
        <w:tc>
          <w:tcPr>
            <w:tcW w:type="dxa" w:w="4986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Wymagane kompetencje niezbędne w realizacji danego przedmiotu</w:t>
            </w:r>
          </w:p>
        </w:tc>
      </w:tr>
      <w:tr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2"/>
      </w:tblGrid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14.  Cele przedmiotu (abstrakt w języku polskim i angielskim)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/>
                <w:sz w:val="22"/>
              </w:rPr>
              <w:t>Abstrakt po polsku:</w:t>
            </w:r>
          </w:p>
          <w:p>
            <w:pPr>
              <w:spacing w:before="20" w:after="80"/>
            </w:pPr>
            <w:r>
              <w:rPr>
                <w:rFonts w:ascii="Aptos" w:hAnsi="Aptos"/>
                <w:sz w:val="22"/>
              </w:rPr>
              <w:t>Celem zajęć jest opanowanie przez studentów podstaw klasycznych technik programowania strukturalnego na bazie języka C#. Wprowadzone zostają również elementy programowania obiektowego. Zajęcia mają na celu rozwijanie umiejętności abstrakcyjnego myślenia oraz rozwiązywania prostych problemów programistycznych z wykorzystaniem platformy .NET i aplikacji konsolowych.</w:t>
            </w:r>
          </w:p>
          <w:p>
            <w:pPr>
              <w:spacing w:before="80" w:after="20"/>
            </w:pPr>
            <w:r>
              <w:rPr>
                <w:rFonts w:ascii="Aptos" w:hAnsi="Aptos"/>
                <w:b/>
                <w:sz w:val="22"/>
              </w:rPr>
              <w:t>Abstrakt po angielsku:</w:t>
            </w:r>
          </w:p>
          <w:p>
            <w:pPr>
              <w:spacing w:before="20" w:after="20"/>
            </w:pPr>
            <w:r>
              <w:rPr>
                <w:rFonts w:ascii="Aptos" w:hAnsi="Aptos"/>
                <w:i/>
                <w:sz w:val="22"/>
              </w:rPr>
              <w:t>The aim of the classes is to help students master the basics of classical structured programming techniques using C# as the foundation. Elements of object-oriented programming are also introduced. The classes are intended to develop abstract thinking and the ability to solve simple programming problems using the .NET platform and console applications.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680"/>
        <w:gridCol w:w="8788"/>
      </w:tblGrid>
      <w:tr>
        <w:tc>
          <w:tcPr>
            <w:tcW w:type="dxa" w:w="9468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15.  Treści programowe poszczególnych zajęć:</w:t>
            </w:r>
          </w:p>
        </w:tc>
      </w:tr>
      <w:tr>
        <w:tc>
          <w:tcPr>
            <w:tcW w:type="dxa" w:w="680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Nr zajęć</w:t>
            </w:r>
          </w:p>
        </w:tc>
        <w:tc>
          <w:tcPr>
            <w:tcW w:type="dxa" w:w="8788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Treści programowe</w:t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1.</w:t>
            </w:r>
          </w:p>
        </w:tc>
        <w:tc>
          <w:tcPr>
            <w:tcW w:type="dxa" w:w="8788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Pojęcie algorytmu. Sposoby przedstawiania algorytmów. Zmienne, typy, operator przypisania, instrukcje Console.WriteLine i Console.ReadLine, pierwszy program w C#.</w:t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2.</w:t>
            </w:r>
          </w:p>
        </w:tc>
        <w:tc>
          <w:tcPr>
            <w:tcW w:type="dxa" w:w="8788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Wprowadzenie do środowiska .NET i Visual Studio. Tworzenie projektu, edycja kodu źródłowego, kompilacja, uruchamianie i debugowanie aplikacji konsolowych. Implementacja prostych obliczeń matematycznych.</w:t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3.</w:t>
            </w:r>
          </w:p>
        </w:tc>
        <w:tc>
          <w:tcPr>
            <w:tcW w:type="dxa" w:w="8788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Instrukcja warunkowa if, if else, zagnieżdżona instrukcja if. Instrukcja switch.</w:t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4.</w:t>
            </w:r>
          </w:p>
        </w:tc>
        <w:tc>
          <w:tcPr>
            <w:tcW w:type="dxa" w:w="8788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Implementacja programów wymagających użycia instrukcji warunkowych i wielowariantowych.</w:t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5.</w:t>
            </w:r>
          </w:p>
        </w:tc>
        <w:tc>
          <w:tcPr>
            <w:tcW w:type="dxa" w:w="8788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Pętle for, while, do while. Różnice i zastosowania. Zagnieżdżanie pętli. Instrukcje break i continue.</w:t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6.</w:t>
            </w:r>
          </w:p>
        </w:tc>
        <w:tc>
          <w:tcPr>
            <w:tcW w:type="dxa" w:w="8788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Implementacja programów wymagających użycia pętli.</w:t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7.</w:t>
            </w:r>
          </w:p>
        </w:tc>
        <w:tc>
          <w:tcPr>
            <w:tcW w:type="dxa" w:w="8788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Typy całkowite i zmiennoprzecinkowe. Typ znakowy i logiczny. Konwersje typów i rzutowania. Kwalifikator const. Operatory arytmetyczne, relacyjne i logiczne. Priorytety operatorów.</w:t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8.</w:t>
            </w:r>
          </w:p>
        </w:tc>
        <w:tc>
          <w:tcPr>
            <w:tcW w:type="dxa" w:w="8788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Implementacja programów z wykorzystaniem zmiennych różnych typów oraz operatorów.</w:t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9.</w:t>
            </w:r>
          </w:p>
        </w:tc>
        <w:tc>
          <w:tcPr>
            <w:tcW w:type="dxa" w:w="8788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Tablice jednowymiarowe i wielowymiarowe. Inicjalizacja tablic. Podstawowe algorytmy sortowania.</w:t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10.</w:t>
            </w:r>
          </w:p>
        </w:tc>
        <w:tc>
          <w:tcPr>
            <w:tcW w:type="dxa" w:w="8788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Implementacja programów wykorzystujących tablice jednowymiarowe i wielowymiarowe.</w:t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11.</w:t>
            </w:r>
          </w:p>
        </w:tc>
        <w:tc>
          <w:tcPr>
            <w:tcW w:type="dxa" w:w="8788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Metody. Przekazywanie parametrów. Zwracanie wartości. Metody void. Przeciążanie metod. Metody biblioteczne.</w:t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12.</w:t>
            </w:r>
          </w:p>
        </w:tc>
        <w:tc>
          <w:tcPr>
            <w:tcW w:type="dxa" w:w="8788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Definiowanie i stosowanie metod. Implementacja aplikacji wykorzystujących metody.</w:t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13.</w:t>
            </w:r>
          </w:p>
        </w:tc>
        <w:tc>
          <w:tcPr>
            <w:tcW w:type="dxa" w:w="8788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Rekurencja. Wady i zalety stosowania rekurencji. Klasa string i jej metody.</w:t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14.</w:t>
            </w:r>
          </w:p>
        </w:tc>
        <w:tc>
          <w:tcPr>
            <w:tcW w:type="dxa" w:w="8788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Implementacja programów wykorzystujących rekurencję oraz operacje na łańcuchach znakowych.</w:t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15.</w:t>
            </w:r>
          </w:p>
        </w:tc>
        <w:tc>
          <w:tcPr>
            <w:tcW w:type="dxa" w:w="8788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Typy referencyjne i wartościowe. Wprowadzenie do kolekcji: List, ArrayList. Zarządzanie pamięcią w .NET. Garbage Collector.</w:t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16.</w:t>
            </w:r>
          </w:p>
        </w:tc>
        <w:tc>
          <w:tcPr>
            <w:tcW w:type="dxa" w:w="8788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Implementacja programów wykorzystujących kolekcje i dynamiczne struktury danych.</w:t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17.</w:t>
            </w:r>
          </w:p>
        </w:tc>
        <w:tc>
          <w:tcPr>
            <w:tcW w:type="dxa" w:w="8788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Wstęp do testowania jednostkowego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2"/>
      </w:tblGrid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16.  Elektroniczne materiały dydaktyczne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2"/>
      </w:tblGrid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17.  Wykaz literatury</w:t>
            </w:r>
          </w:p>
        </w:tc>
      </w:tr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16"/>
              </w:rPr>
              <w:t>Literatura wymagana do ostatecznego zaliczenia zajęć, wykorzystywana podczas zajęć oraz studiowana samodzielnie przez studenta: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1. Andrew Troelsen, Phil Japikse, Pro C# 10 with .NET 6, Apress, 2022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2. Ian Griffiths, Programming C# 10, O'Reilly Media, 2022</w:t>
            </w:r>
          </w:p>
        </w:tc>
      </w:tr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16"/>
              </w:rPr>
              <w:t>Literatura uzupełniająca: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1. Jon Skeet, C# in Depth, Fourth Edition, Manning Publications, 2019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2. Robert C. Martin, Czysty kod. Podręcznik dobrego programisty, Helion, 2010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3324"/>
        <w:gridCol w:w="3324"/>
        <w:gridCol w:w="3324"/>
      </w:tblGrid>
      <w:tr>
        <w:tc>
          <w:tcPr>
            <w:tcW w:type="dxa" w:w="9972"/>
            <w:gridSpan w:val="3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18.  Wiedza nabywana / dostarczana uczestnikom w trakcie realizacji przedmiotu</w:t>
            </w:r>
          </w:p>
        </w:tc>
      </w:tr>
      <w:tr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Kierunkowe efekty uczenia się (kody)</w:t>
            </w:r>
          </w:p>
        </w:tc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Przedmiotowy efekt uczenia się</w:t>
            </w:r>
          </w:p>
        </w:tc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Metody weryfikacji osiągnięcia efektu uczenia się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K_W10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Student zna i rozumie podstawowe zasady programowania strukturalnego i obiektowego w języku C#: typy danych, instrukcje sterujące, metody, rekurencję, tablice, kolekcje generyczne i zarządzanie pamięcią w środowisku .NET. [K_W10]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K_W04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Student zna i rozumie podstawowe algorytmy wyszukiwania i sortowania danych oraz ich złożoność obliczeniową, a także wie, jak dobierać odpowiednie struktury danych. [K_W04]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3324"/>
        <w:gridCol w:w="3324"/>
        <w:gridCol w:w="3324"/>
      </w:tblGrid>
      <w:tr>
        <w:tc>
          <w:tcPr>
            <w:tcW w:type="dxa" w:w="9972"/>
            <w:gridSpan w:val="3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19.  Umiejętności nabywane podczas realizacji przedmiotu</w:t>
            </w:r>
          </w:p>
        </w:tc>
      </w:tr>
      <w:tr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Kierunkowe efekty uczenia się (kody)</w:t>
            </w:r>
          </w:p>
        </w:tc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Przedmiotowy efekt uczenia się</w:t>
            </w:r>
          </w:p>
        </w:tc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Metody weryfikacji osiągnięcia efektu uczenia się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K_U10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Student potrafi czytać ze zrozumieniem programy w C#, samodzielnie pisać, kompilować, uruchamiać i debugować aplikacje konsolowe realizujące zadane wymagania. [K_U10]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kolokwium, ocena pracy podczas ćwiczenia, ocena sporządzonego oprogramowania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K_U15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Student potrafi dobrać odpowiednie środowisko programistyczne (.NET/Visual Studio/Rider) i ocenić przydatność różnych konstrukcji języka C# do rozwiązania konkretnego zadania. [K_U15]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kolokwium, ocena pracy podczas ćwiczenia, ocena sporządzonego oprogramowania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3324"/>
        <w:gridCol w:w="3324"/>
        <w:gridCol w:w="3324"/>
      </w:tblGrid>
      <w:tr>
        <w:tc>
          <w:tcPr>
            <w:tcW w:type="dxa" w:w="9972"/>
            <w:gridSpan w:val="3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20.  Kompetencje społeczne (postawy) kształtowane podczas realizacji przedmiotu</w:t>
            </w:r>
          </w:p>
        </w:tc>
      </w:tr>
      <w:tr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Kierunkowe efekty uczenia się (kody)</w:t>
            </w:r>
          </w:p>
        </w:tc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Przedmiotowy efekt uczenia się</w:t>
            </w:r>
          </w:p>
        </w:tc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Metody weryfikacji osiągnięcia efektu uczenia się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K_K03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Student jest gotów do samodzielnego poszerzania kompetencji programistycznych w C# i .NET w oparciu o dokumentację techniczną i zasoby online. [K_K03]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kolokwium, ocena pracy podczas ćwiczenia, ocena sporządzonego oprogramowania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K_K05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Student jest gotów do krytycznej oceny własnego kodu i przyjmowania feedbacku w celu poprawy jego jakości i czytelności. [K_K05]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kolokwium, ocena pracy podczas ćwiczenia, ocena sporządzonego oprogramowania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3324"/>
        <w:gridCol w:w="3324"/>
        <w:gridCol w:w="3324"/>
      </w:tblGrid>
      <w:tr>
        <w:tc>
          <w:tcPr>
            <w:tcW w:type="dxa" w:w="9972"/>
            <w:gridSpan w:val="3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21.  Wymagania dotyczące laboratorium, w którym odbywają się zajęcia z niniejszego przedmiotu</w:t>
            </w:r>
          </w:p>
        </w:tc>
      </w:tr>
      <w:tr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Parametry dla stanowisk komputerowych</w:t>
            </w:r>
          </w:p>
        </w:tc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Oprogramowanie konieczne do realizacji przedmiotu</w:t>
            </w:r>
          </w:p>
        </w:tc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Wyposażenie specjalistyczne konieczne do realizacji przedmiotu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2"/>
      </w:tblGrid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22.  Informacje dodatkowe – certyfikaty do których przygotowuje przedmiot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2"/>
      </w:tblGrid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23.  Uzasadnienie dla prowadzenia przedmiotu - współpraca z rynkiem pracy</w:t>
            </w:r>
          </w:p>
        </w:tc>
      </w:tr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16"/>
              </w:rPr>
              <w:t>A.  W jakiego typu firmach bądź dziedzinach gospodarki będą potrzebne umiejętności nabyte w trakcie zajęć: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16"/>
              </w:rPr>
              <w:t>B.  W jakich zawodach wiedza i umiejętności nabyte podczas zajęć są istotne: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16"/>
              </w:rPr>
              <w:t>C.  Przykładowe tematy prac dyplomowych i projektów badawczych: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</w:tbl>
    <w:sectPr w:rsidR="00FC693F" w:rsidRPr="0006063C" w:rsidSect="00034616">
      <w:pgSz w:w="12240" w:h="15840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