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modelami 3D dla gier; budowanie portfolio ćwiczeń semestralnych; realizacja projektu końcowego z modelowania 3D; eksploracja narzędzi (Blender, Maya).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Niezbędna jest ogólna znajomość obsługi komputera.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Wprowadzenie do podstaw obsługi Blendera.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Modelowanie w trybie obiektowym.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Modyfikatory.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Modelowanie w trybie edycji.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Modelowanie high-poly w trybie rzeźbienia.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Materiały.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Tekstury proceduralne.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Mapowanie tekstur i przestrzenie współrzędnych.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Tekstury bitmapowe.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Wypalanie tekstur.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Optymalizacja sceny 3D i rendering.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Komponowanie (compositing).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https://docs.blender.org/manual/en/latest/index.html</w:t>
            </w:r>
          </w:p>
          <w:p>
            <w:pPr>
              <w:spacing w:before="20" w:after="20"/>
            </w:pPr>
            <w:r>
              <w:rPr>
                <w:rFonts w:ascii="Aptos" w:hAnsi="Aptos"/>
                <w:sz w:val="22"/>
              </w:rPr>
              <w:t>• https://mikepan.com/GameEngineBook/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