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p>
            <w:pPr>
              <w:spacing w:before="20" w:after="20"/>
            </w:pPr>
            <w:r>
              <w:rPr>
                <w:rFonts w:ascii="Aptos" w:hAnsi="Aptos"/>
                <w:b/>
                <w:sz w:val="22"/>
              </w:rPr>
              <w:t>Laboratorium:</w:t>
            </w:r>
          </w:p>
          <w:p>
            <w:pPr>
              <w:spacing w:before="20" w:after="20"/>
            </w:pPr>
            <w:r>
              <w:rPr>
                <w:rFonts w:ascii="Aptos" w:hAnsi="Aptos"/>
                <w:b w:val="0"/>
                <w:sz w:val="22"/>
              </w:rPr>
              <w:t>• Laboratorium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architektury komputera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Wstęp do programowania w x86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Pamięć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Skoki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Arytmetyka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ONP + Stos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Pętle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Projekt / funkcje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Projekt / funkcje, include, asm zaawansowany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Bootsector OS, BIOS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32-bit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Bootsector, ładowanie jądra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Proste jądro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Proste mechanizmy OS, rozwój jądra OS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