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4</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NIM3</w:t>
            </w:r>
          </w:p>
        </w:tc>
        <w:tc>
          <w:tcPr>
            <w:tcW w:type="dxa" w:w="4986"/>
          </w:tcPr>
          <w:p>
            <w:pPr>
              <w:spacing w:before="20" w:after="20"/>
            </w:pPr>
            <w:r>
              <w:rPr>
                <w:rFonts w:ascii="Aptos" w:hAnsi="Aptos"/>
                <w:b w:val="0"/>
                <w:i w:val="0"/>
                <w:sz w:val="22"/>
              </w:rPr>
              <w:t>Zagadnienia z NIM3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1.Wiederholung des Stoffes. Powtórzenie materiału. Omówienie kwestii otrzymania zaliczenia.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Futur I und sich informieren.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Sich informieren. Wir schreiben eine Anfrage. Piszemy ogłoszenie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Brauchen +zu, Im Gastland.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Traeume und Plaene fuer die Zukunft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Politik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Futur I – czas przyszły, powtórzenie i test.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Politisches System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Politische Parteien. Der Bundestag.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Ich engagiere mich fuer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Flashmob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Die Entwicklung der deutschen Sprache..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Die Sprachen in der Welt. – die Diskussion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Varietaeten der Sprache.Wiederholung des Stoffes.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