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mikroserwisów oraz mikrofrontendów z użyciem Docker, Kubernetes i Module Federation; dokumentacja architektury systemu; przygotowanie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W08. Event Sourcing: przechowywanie stanu jako sekwencji zdarzeń. Zalety i ograniczenia. Integracja z CQRS.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L03. Implementacja mikroserwisu nr 1 (np. serwis produktów) – REST API, walidacja, obsługa błędów, testy jednostkowe (Jest).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L06. Implementacja API Gateway w NGINX lub jako mikroserwis Node.js – routing do serwisów backendu, uwierzytelnianie JWT, rate limiting.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L07. Wzorzec Circuit Breaker z użyciem biblioteki opossum (Node.js). Symulowanie awarii serwisu i testowanie mechanizmów fallback.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L08. Podstawy Webpack Module Federation – konfiguracja hosta i remotu. Pierwszy mikrofrontend wystawiający komponent React/Vue.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L09. Budowa aplikacji Shell – integracja co najmniej dwóch niezależnych modułów mikrofrontendowych. Dynamiczne ładowanie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L10. Routing w aplikacji mikrofrontendowej. Komunikacja między modułami przy użyciu Custom Events i współdzielonego Event Bus.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L14. Przegląd i obrona projektów końcowych – prezentacja architektury, demonstracja działającego systemu, dyskusja decyzji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