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Przygotowywanie prac pisemnych (listy formalne/nieformalne, eseje, raporty); nauka słownictwa i gramatyki; przygotowanie do kolokwiów i testów; samodzielne ćwiczenia z wymową i konwersacją.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Znajomość języka angielskiego na poziomie min.A2+/B1.</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Zagadnienia z matematyki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algebra,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liczby naturalne,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liczby rzeczywiste,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liczby całkowite,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liczby wymierne,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działania wykonywane na liczbach,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notacja pozycyjna,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figury geometryczne,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macierze,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typy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tryb całkowitoliczbowy,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tryb zmiennoprzecinkowy,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tekstowe typy danych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2.Zagadnienia biznesowe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debatowanie,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wywieranie wpływu,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podejmowanie 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komunikacja w biznesie,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marki,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zatrudnienie,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etyka zawodowa,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team building,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style zarządzania,  rynki międzynarodowe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4. Zagadnienia z zakresu informatyki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zastosowanie komputerów w życiu codziennym,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mikroprocesory,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Internet,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wirusy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gry komputerowe, sieci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nowe technologie,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oprogramowanie komputerowe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9. Słuchanie w oparciu o materiały przedstawiające sytuacje związane 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11. Analiza i rozumienie języka specjalistycznego oraz tłumaczenie krótkich tekstów technicznych. K_U01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14. Wypowiedzi ustne studentów (prezentacje multimedialne, artykuły prasowe,  prezentacje projektów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15. Colloquium / Podsumowanie semestru.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