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1</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 wymagań wstępnych w zakresie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na poziomie A1/A2. Student opanowuje język hiszpański w stopniu pozwalającym na podstawową komunikację językową w sytuacjach dnia codziennego, wyrażanie myśli i opinii, rozumienie i tworzenie krótkich tekstów pisanych i wypowiedzi ustnych.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Hiszpański na świecie - ogólne informacje o krajach hiszpańskojęzycznych, alfabet, przywitania, pożegnania, samopoczucie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Edukacja – nazwy przyborów szkolnych, zwroty przydatne na lekcjach, liczebniki do 20, rodzaj i liczba rzeczowników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Życie prywatne – rodzina (pokrewieństwo), przyjaciele, imiona i nazwiska hiszpańskie, liczebniki do 100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Praca – zawody, miejsca pracy,  odmiana czasowników regularnych,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Wygląd człowieka – cechy fizyczne i cechy charakteru, 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Rzeczy osobiste – ubrania i kolory, zaimki wskazujące, czasownik llevar, rodzajniki nieokreślone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Święta w Hiszpanii: Sylwester, Nowy Rok, Święto Trzech Króli, tradycje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Miejsce zamieszkania – budynki miejskie, opis dzielnicy, liczebniki do 1000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Życie codzienne – czynności dnia codziennego, przysłówki i wyrażenia czasowe, odmiana czasowników zwrotnych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Miasto – obiekty miejskie, usługi, zaimki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Czas wolny – formy spędzania czasu wolnego, częstotliwość wykonywanych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Święta w Hiszpanii – Wielkanoc, Święto ognia, tradycje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 A1/A2.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