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10</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Scala z wykorzystaniem paradygmatów funkcyjnego i obiektowego;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Scala i platformy JVM oraz konfiguracja środowiska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Podstawowe typy danych, wyrażenia, instrukcje sterujące i niemutowalność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Funkcje, funkcje anonimowe i funkcje wyższego rzędu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Kolekcje w Scali i operacje funkcyjne (map, flatMap, filter)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case class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Dziedziczenie, cechy (traits) i kompozycja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Dopasowanie wzorców (pattern matching)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Obsługa błędów: Option, Either, Try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i czytelność kodu w stylu funkcyjnym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Scala, różnice między paradygmatem obiektowym i funkcyjnym oraz zasady działania aplikacji na platformie JVM.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Scala, definiować funkcje i klasy, korzystać z kolekcji niemutowalnych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świadomie dobierać narzędzia i paradygmaty do rozwiązywanego problemu.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