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zapytań SQL; modelowanie relacyjnych baz danych (normalizacja, diagramy 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 Programisty</w:t>
            </w:r>
          </w:p>
        </w:tc>
        <w:tc>
          <w:tcPr>
            <w:tcW w:type="dxa" w:w="4986"/>
          </w:tcPr>
          <w:p>
            <w:pPr>
              <w:spacing w:before="20" w:after="20"/>
            </w:pPr>
            <w:r>
              <w:rPr>
                <w:rFonts w:ascii="Aptos" w:hAnsi="Aptos"/>
                <w:b w:val="0"/>
                <w:i w:val="0"/>
                <w:sz w:val="22"/>
              </w:rPr>
              <w:t>Znajomość IDE programistycznego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Podstawowe cechy relacyjnych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Zalety i wady relacyjnych i nierelacyjnych organizacji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Znaczenie zależności funkcyjnych i postaci normalnych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elementy i znaczenie diagramów związków encji (ERD)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konstrukcje języka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Interfejs ODBC.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Elementy programistyczne w bazie danych, procedury wyzwalane, definicje, przykłady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Reguły integralności w bazie danych, przykłady występowania, sposoby realizacji w języku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zasady optymalizacji zapytań, w tym rodzaje i znaczenie indeksów w bazie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Problemy współbieżnego dostępu do baz danych, rozwiązania tych problemów (transakcje, blokady).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Inne rodzaje baz danych: bazy dokumentowe, bazy grafowe.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