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Relacyjne Bazy Danych</w:t>
            </w:r>
          </w:p>
        </w:tc>
        <w:tc>
          <w:tcPr>
            <w:tcW w:type="dxa" w:w="4986"/>
            <w:gridSpan w:val="2"/>
          </w:tcPr>
          <w:p>
            <w:pPr>
              <w:spacing w:before="20" w:after="20"/>
            </w:pPr>
            <w:r>
              <w:rPr>
                <w:rFonts w:ascii="Aptos" w:hAnsi="Aptos"/>
                <w:b w:val="0"/>
                <w:i w:val="0"/>
                <w:sz w:val="22"/>
              </w:rPr>
              <w:t>08.03.2026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RBD</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4</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t>obligatoryjny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2</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Adam Urbanowicz aurbanow@pjwstk.edu.pl</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60</w:t>
            </w:r>
          </w:p>
        </w:tc>
        <w:tc>
          <w:tcPr>
            <w:tcW w:type="dxa" w:w="1994"/>
            <w:gridSpan w:val="2"/>
          </w:tcPr>
          <w:p>
            <w:pPr>
              <w:spacing w:before="20" w:after="20"/>
            </w:pPr>
            <w:r>
              <w:rPr>
                <w:rFonts w:ascii="Aptos" w:hAnsi="Aptos"/>
                <w:b w:val="0"/>
                <w:i w:val="0"/>
                <w:sz w:val="22"/>
              </w:rPr>
              <w:t>2.4</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40</w:t>
            </w:r>
          </w:p>
        </w:tc>
        <w:tc>
          <w:tcPr>
            <w:tcW w:type="dxa" w:w="1994"/>
            <w:gridSpan w:val="2"/>
          </w:tcPr>
          <w:p>
            <w:pPr>
              <w:spacing w:before="20" w:after="20"/>
            </w:pPr>
            <w:r>
              <w:rPr>
                <w:rFonts w:ascii="Aptos" w:hAnsi="Aptos"/>
                <w:b w:val="0"/>
                <w:i w:val="0"/>
                <w:sz w:val="22"/>
              </w:rPr>
              <w:t>1.6</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Projektowanie i implementacja zapytań SQL; modelowanie relacyjnych baz danych (normalizacja, diagramy ER); przygotowanie do kolokwium.</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val="0"/>
                <w:sz w:val="22"/>
              </w:rPr>
              <w:t>• wykład z prezentacją oprogramowania</w:t>
            </w:r>
          </w:p>
          <w:p>
            <w:pPr>
              <w:spacing w:before="20" w:after="20"/>
            </w:pPr>
            <w:r>
              <w:rPr>
                <w:rFonts w:ascii="Aptos" w:hAnsi="Aptos"/>
                <w:b/>
                <w:sz w:val="22"/>
              </w:rPr>
              <w:t>Ćwiczenia / Laboratorium:</w:t>
            </w:r>
          </w:p>
          <w:p>
            <w:pPr>
              <w:spacing w:before="20" w:after="20"/>
            </w:pPr>
            <w:r>
              <w:rPr>
                <w:rFonts w:ascii="Aptos" w:hAnsi="Aptos"/>
                <w:b w:val="0"/>
                <w:sz w:val="22"/>
              </w:rPr>
              <w:t>• rozwiązywanie zadań</w:t>
            </w:r>
          </w:p>
          <w:p>
            <w:pPr>
              <w:spacing w:before="20" w:after="20"/>
            </w:pPr>
            <w:r>
              <w:rPr>
                <w:rFonts w:ascii="Aptos" w:hAnsi="Aptos"/>
                <w:b w:val="0"/>
                <w:sz w:val="22"/>
              </w:rPr>
              <w:t>• warsztaty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kolokwium</w:t>
            </w:r>
          </w:p>
          <w:p>
            <w:pPr>
              <w:spacing w:before="20" w:after="20"/>
            </w:pPr>
            <w:r>
              <w:rPr>
                <w:rFonts w:ascii="Aptos" w:hAnsi="Aptos"/>
                <w:sz w:val="22"/>
              </w:rPr>
              <w:t>2. 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Warsztat Programisty</w:t>
            </w:r>
          </w:p>
        </w:tc>
        <w:tc>
          <w:tcPr>
            <w:tcW w:type="dxa" w:w="4986"/>
          </w:tcPr>
          <w:p>
            <w:pPr>
              <w:spacing w:before="20" w:after="20"/>
            </w:pPr>
            <w:r>
              <w:rPr>
                <w:rFonts w:ascii="Aptos" w:hAnsi="Aptos"/>
                <w:b w:val="0"/>
                <w:i w:val="0"/>
                <w:sz w:val="22"/>
              </w:rPr>
              <w:t>Znajomość IDE programistycznego</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Student potrafi przygotować schemat bazy danych w języku SQL, gotową do implementacji w dowolnym systemie zarządzania bazami danych, spełniającą oczekiwania klienta, poprawną z punktu widzenia postaci normalnych i wyposażoną w dokumentacje techniczną (w tym diagram ERD, objaśnienia ew. procedur wyzwalanych).</w:t>
            </w:r>
          </w:p>
          <w:p>
            <w:pPr>
              <w:spacing w:before="80" w:after="20"/>
            </w:pPr>
            <w:r>
              <w:rPr>
                <w:rFonts w:ascii="Aptos" w:hAnsi="Aptos"/>
                <w:b/>
                <w:sz w:val="22"/>
              </w:rPr>
              <w:t>Abstrakt po angielsku:</w:t>
            </w:r>
          </w:p>
          <w:p>
            <w:pPr>
              <w:spacing w:before="20" w:after="20"/>
            </w:pPr>
            <w:r>
              <w:rPr>
                <w:rFonts w:ascii="Aptos" w:hAnsi="Aptos"/>
                <w:i/>
                <w:sz w:val="22"/>
              </w:rPr>
              <w:t>Students are able to prepare a database schema in SQL, ready for implementation in any database management system, meeting client expectations, correct from the point of view of normalization, and equipped with technical documentation (including an ERD diagram and explanations of any triggers or procedures used).</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8788"/>
      </w:tblGrid>
      <w:tr>
        <w:tc>
          <w:tcPr>
            <w:tcW w:type="dxa" w:w="9468"/>
            <w:gridSpan w:val="2"/>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8788"/>
            <w:shd w:val="clear" w:color="auto" w:fill="D9D9D9"/>
          </w:tcPr>
          <w:p>
            <w:pPr>
              <w:spacing w:before="20" w:after="20"/>
            </w:pPr>
            <w:r>
              <w:rPr>
                <w:rFonts w:ascii="Aptos" w:hAnsi="Aptos"/>
                <w:b/>
                <w:i w:val="0"/>
                <w:sz w:val="16"/>
              </w:rPr>
              <w:t>Treści programowe</w:t>
            </w:r>
          </w:p>
        </w:tc>
      </w:tr>
      <w:tr>
        <w:tc>
          <w:tcPr>
            <w:tcW w:type="dxa" w:w="680"/>
          </w:tcPr>
          <w:p>
            <w:pPr>
              <w:spacing w:before="20" w:after="20"/>
            </w:pPr>
            <w:r>
              <w:rPr>
                <w:rFonts w:ascii="Aptos" w:hAnsi="Aptos"/>
                <w:b w:val="0"/>
                <w:i w:val="0"/>
                <w:sz w:val="22"/>
              </w:rPr>
              <w:t>1.</w:t>
            </w:r>
          </w:p>
        </w:tc>
        <w:tc>
          <w:tcPr>
            <w:tcW w:type="dxa" w:w="8788"/>
          </w:tcPr>
          <w:p>
            <w:pPr>
              <w:spacing w:before="20" w:after="20"/>
            </w:pPr>
            <w:r>
              <w:rPr>
                <w:rFonts w:ascii="Aptos" w:hAnsi="Aptos"/>
                <w:b w:val="0"/>
                <w:i w:val="0"/>
                <w:sz w:val="22"/>
              </w:rPr>
              <w:t>Podstawowe cechy relacyjnych baz danych</w:t>
            </w:r>
          </w:p>
        </w:tc>
      </w:tr>
      <w:tr>
        <w:tc>
          <w:tcPr>
            <w:tcW w:type="dxa" w:w="680"/>
          </w:tcPr>
          <w:p>
            <w:pPr>
              <w:spacing w:before="20" w:after="20"/>
            </w:pPr>
            <w:r>
              <w:rPr>
                <w:rFonts w:ascii="Aptos" w:hAnsi="Aptos"/>
                <w:b w:val="0"/>
                <w:i w:val="0"/>
                <w:sz w:val="22"/>
              </w:rPr>
              <w:t>2.</w:t>
            </w:r>
          </w:p>
        </w:tc>
        <w:tc>
          <w:tcPr>
            <w:tcW w:type="dxa" w:w="8788"/>
          </w:tcPr>
          <w:p>
            <w:pPr>
              <w:spacing w:before="20" w:after="20"/>
            </w:pPr>
            <w:r>
              <w:rPr>
                <w:rFonts w:ascii="Aptos" w:hAnsi="Aptos"/>
                <w:b w:val="0"/>
                <w:i w:val="0"/>
                <w:sz w:val="22"/>
              </w:rPr>
              <w:t>Zalety i wady relacyjnych i nierelacyjnych organizacji baz danych</w:t>
            </w:r>
          </w:p>
        </w:tc>
      </w:tr>
      <w:tr>
        <w:tc>
          <w:tcPr>
            <w:tcW w:type="dxa" w:w="680"/>
          </w:tcPr>
          <w:p>
            <w:pPr>
              <w:spacing w:before="20" w:after="20"/>
            </w:pPr>
            <w:r>
              <w:rPr>
                <w:rFonts w:ascii="Aptos" w:hAnsi="Aptos"/>
                <w:b w:val="0"/>
                <w:i w:val="0"/>
                <w:sz w:val="22"/>
              </w:rPr>
              <w:t>3.</w:t>
            </w:r>
          </w:p>
        </w:tc>
        <w:tc>
          <w:tcPr>
            <w:tcW w:type="dxa" w:w="8788"/>
          </w:tcPr>
          <w:p>
            <w:pPr>
              <w:spacing w:before="20" w:after="20"/>
            </w:pPr>
            <w:r>
              <w:rPr>
                <w:rFonts w:ascii="Aptos" w:hAnsi="Aptos"/>
                <w:b w:val="0"/>
                <w:i w:val="0"/>
                <w:sz w:val="22"/>
              </w:rPr>
              <w:t>Znaczenie zależności funkcyjnych i postaci normalnych przy projektowaniu schematu bazy danych.</w:t>
            </w:r>
          </w:p>
        </w:tc>
      </w:tr>
      <w:tr>
        <w:tc>
          <w:tcPr>
            <w:tcW w:type="dxa" w:w="680"/>
          </w:tcPr>
          <w:p>
            <w:pPr>
              <w:spacing w:before="20" w:after="20"/>
            </w:pPr>
            <w:r>
              <w:rPr>
                <w:rFonts w:ascii="Aptos" w:hAnsi="Aptos"/>
                <w:b w:val="0"/>
                <w:i w:val="0"/>
                <w:sz w:val="22"/>
              </w:rPr>
              <w:t>4.</w:t>
            </w:r>
          </w:p>
        </w:tc>
        <w:tc>
          <w:tcPr>
            <w:tcW w:type="dxa" w:w="8788"/>
          </w:tcPr>
          <w:p>
            <w:pPr>
              <w:spacing w:before="20" w:after="20"/>
            </w:pPr>
            <w:r>
              <w:rPr>
                <w:rFonts w:ascii="Aptos" w:hAnsi="Aptos"/>
                <w:b w:val="0"/>
                <w:i w:val="0"/>
                <w:sz w:val="22"/>
              </w:rPr>
              <w:t>Podstawowe elementy i znaczenie diagramów związków encji (ERD) przy projektowaniu schematu bazy danych.</w:t>
            </w:r>
          </w:p>
        </w:tc>
      </w:tr>
      <w:tr>
        <w:tc>
          <w:tcPr>
            <w:tcW w:type="dxa" w:w="680"/>
          </w:tcPr>
          <w:p>
            <w:pPr>
              <w:spacing w:before="20" w:after="20"/>
            </w:pPr>
            <w:r>
              <w:rPr>
                <w:rFonts w:ascii="Aptos" w:hAnsi="Aptos"/>
                <w:b w:val="0"/>
                <w:i w:val="0"/>
                <w:sz w:val="22"/>
              </w:rPr>
              <w:t>5.</w:t>
            </w:r>
          </w:p>
        </w:tc>
        <w:tc>
          <w:tcPr>
            <w:tcW w:type="dxa" w:w="8788"/>
          </w:tcPr>
          <w:p>
            <w:pPr>
              <w:spacing w:before="20" w:after="20"/>
            </w:pPr>
            <w:r>
              <w:rPr>
                <w:rFonts w:ascii="Aptos" w:hAnsi="Aptos"/>
                <w:b w:val="0"/>
                <w:i w:val="0"/>
                <w:sz w:val="22"/>
              </w:rPr>
              <w:t>Podstawowe konstrukcje języka SQL.</w:t>
            </w:r>
          </w:p>
        </w:tc>
      </w:tr>
      <w:tr>
        <w:tc>
          <w:tcPr>
            <w:tcW w:type="dxa" w:w="680"/>
          </w:tcPr>
          <w:p>
            <w:pPr>
              <w:spacing w:before="20" w:after="20"/>
            </w:pPr>
            <w:r>
              <w:rPr>
                <w:rFonts w:ascii="Aptos" w:hAnsi="Aptos"/>
                <w:b w:val="0"/>
                <w:i w:val="0"/>
                <w:sz w:val="22"/>
              </w:rPr>
              <w:t>6.</w:t>
            </w:r>
          </w:p>
        </w:tc>
        <w:tc>
          <w:tcPr>
            <w:tcW w:type="dxa" w:w="8788"/>
          </w:tcPr>
          <w:p>
            <w:pPr>
              <w:spacing w:before="20" w:after="20"/>
            </w:pPr>
            <w:r>
              <w:rPr>
                <w:rFonts w:ascii="Aptos" w:hAnsi="Aptos"/>
                <w:b w:val="0"/>
                <w:i w:val="0"/>
                <w:sz w:val="22"/>
              </w:rPr>
              <w:t>Interfejs ODBC.</w:t>
            </w:r>
          </w:p>
        </w:tc>
      </w:tr>
      <w:tr>
        <w:tc>
          <w:tcPr>
            <w:tcW w:type="dxa" w:w="680"/>
          </w:tcPr>
          <w:p>
            <w:pPr>
              <w:spacing w:before="20" w:after="20"/>
            </w:pPr>
            <w:r>
              <w:rPr>
                <w:rFonts w:ascii="Aptos" w:hAnsi="Aptos"/>
                <w:b w:val="0"/>
                <w:i w:val="0"/>
                <w:sz w:val="22"/>
              </w:rPr>
              <w:t>7.</w:t>
            </w:r>
          </w:p>
        </w:tc>
        <w:tc>
          <w:tcPr>
            <w:tcW w:type="dxa" w:w="8788"/>
          </w:tcPr>
          <w:p>
            <w:pPr>
              <w:spacing w:before="20" w:after="20"/>
            </w:pPr>
            <w:r>
              <w:rPr>
                <w:rFonts w:ascii="Aptos" w:hAnsi="Aptos"/>
                <w:b w:val="0"/>
                <w:i w:val="0"/>
                <w:sz w:val="22"/>
              </w:rPr>
              <w:t>Elementy programistyczne w bazie danych, procedury wyzwalane, definicje, przykłady zastosowań.</w:t>
            </w:r>
          </w:p>
        </w:tc>
      </w:tr>
      <w:tr>
        <w:tc>
          <w:tcPr>
            <w:tcW w:type="dxa" w:w="680"/>
          </w:tcPr>
          <w:p>
            <w:pPr>
              <w:spacing w:before="20" w:after="20"/>
            </w:pPr>
            <w:r>
              <w:rPr>
                <w:rFonts w:ascii="Aptos" w:hAnsi="Aptos"/>
                <w:b w:val="0"/>
                <w:i w:val="0"/>
                <w:sz w:val="22"/>
              </w:rPr>
              <w:t>8.</w:t>
            </w:r>
          </w:p>
        </w:tc>
        <w:tc>
          <w:tcPr>
            <w:tcW w:type="dxa" w:w="8788"/>
          </w:tcPr>
          <w:p>
            <w:pPr>
              <w:spacing w:before="20" w:after="20"/>
            </w:pPr>
            <w:r>
              <w:rPr>
                <w:rFonts w:ascii="Aptos" w:hAnsi="Aptos"/>
                <w:b w:val="0"/>
                <w:i w:val="0"/>
                <w:sz w:val="22"/>
              </w:rPr>
              <w:t>Reguły integralności w bazie danych, przykłady występowania, sposoby realizacji w języku SQL</w:t>
            </w:r>
          </w:p>
        </w:tc>
      </w:tr>
      <w:tr>
        <w:tc>
          <w:tcPr>
            <w:tcW w:type="dxa" w:w="680"/>
          </w:tcPr>
          <w:p>
            <w:pPr>
              <w:spacing w:before="20" w:after="20"/>
            </w:pPr>
            <w:r>
              <w:rPr>
                <w:rFonts w:ascii="Aptos" w:hAnsi="Aptos"/>
                <w:b w:val="0"/>
                <w:i w:val="0"/>
                <w:sz w:val="22"/>
              </w:rPr>
              <w:t>9.</w:t>
            </w:r>
          </w:p>
        </w:tc>
        <w:tc>
          <w:tcPr>
            <w:tcW w:type="dxa" w:w="8788"/>
          </w:tcPr>
          <w:p>
            <w:pPr>
              <w:spacing w:before="20" w:after="20"/>
            </w:pPr>
            <w:r>
              <w:rPr>
                <w:rFonts w:ascii="Aptos" w:hAnsi="Aptos"/>
                <w:b w:val="0"/>
                <w:i w:val="0"/>
                <w:sz w:val="22"/>
              </w:rPr>
              <w:t>Podstawowe zasady optymalizacji zapytań, w tym rodzaje i znaczenie indeksów w bazie danych</w:t>
            </w:r>
          </w:p>
        </w:tc>
      </w:tr>
      <w:tr>
        <w:tc>
          <w:tcPr>
            <w:tcW w:type="dxa" w:w="680"/>
          </w:tcPr>
          <w:p>
            <w:pPr>
              <w:spacing w:before="20" w:after="20"/>
            </w:pPr>
            <w:r>
              <w:rPr>
                <w:rFonts w:ascii="Aptos" w:hAnsi="Aptos"/>
                <w:b w:val="0"/>
                <w:i w:val="0"/>
                <w:sz w:val="22"/>
              </w:rPr>
              <w:t>10.</w:t>
            </w:r>
          </w:p>
        </w:tc>
        <w:tc>
          <w:tcPr>
            <w:tcW w:type="dxa" w:w="8788"/>
          </w:tcPr>
          <w:p>
            <w:pPr>
              <w:spacing w:before="20" w:after="20"/>
            </w:pPr>
            <w:r>
              <w:rPr>
                <w:rFonts w:ascii="Aptos" w:hAnsi="Aptos"/>
                <w:b w:val="0"/>
                <w:i w:val="0"/>
                <w:sz w:val="22"/>
              </w:rPr>
              <w:t>Problemy współbieżnego dostępu do baz danych, rozwiązania tych problemów (transakcje, blokady).</w:t>
            </w:r>
          </w:p>
        </w:tc>
      </w:tr>
      <w:tr>
        <w:tc>
          <w:tcPr>
            <w:tcW w:type="dxa" w:w="680"/>
          </w:tcPr>
          <w:p>
            <w:pPr>
              <w:spacing w:before="20" w:after="20"/>
            </w:pPr>
            <w:r>
              <w:rPr>
                <w:rFonts w:ascii="Aptos" w:hAnsi="Aptos"/>
                <w:b w:val="0"/>
                <w:i w:val="0"/>
                <w:sz w:val="22"/>
              </w:rPr>
              <w:t>11.</w:t>
            </w:r>
          </w:p>
        </w:tc>
        <w:tc>
          <w:tcPr>
            <w:tcW w:type="dxa" w:w="8788"/>
          </w:tcPr>
          <w:p>
            <w:pPr>
              <w:spacing w:before="20" w:after="20"/>
            </w:pPr>
            <w:r>
              <w:rPr>
                <w:rFonts w:ascii="Aptos" w:hAnsi="Aptos"/>
                <w:b w:val="0"/>
                <w:i w:val="0"/>
                <w:sz w:val="22"/>
              </w:rPr>
              <w:t>Inne rodzaje baz danych: bazy dokumentowe, bazy grafowe.</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R. Elmasari, S. B. Navathe, Wprowadzenie do systemów baz danych, Helion, 2019</w:t>
            </w:r>
          </w:p>
          <w:p>
            <w:pPr>
              <w:spacing w:before="20" w:after="20"/>
            </w:pPr>
            <w:r>
              <w:rPr>
                <w:rFonts w:ascii="Aptos" w:hAnsi="Aptos"/>
                <w:sz w:val="22"/>
              </w:rPr>
              <w:t>2. L. Banachowski, Relacyjne bazy danych, Wydawnictwo PJWSTK</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K. Hansen, Praktyczna nauka SQL dla Oracle. Wykorzystaj ogromne możliwości bazy danych Oracle, Helion, 2022</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K_W13</w:t>
            </w:r>
          </w:p>
        </w:tc>
        <w:tc>
          <w:tcPr>
            <w:tcW w:type="dxa" w:w="3324"/>
          </w:tcPr>
          <w:p>
            <w:pPr>
              <w:spacing w:before="20" w:after="20"/>
            </w:pPr>
            <w:r>
              <w:rPr>
                <w:rFonts w:ascii="Aptos" w:hAnsi="Aptos"/>
                <w:b w:val="0"/>
                <w:i w:val="0"/>
                <w:sz w:val="22"/>
              </w:rPr>
              <w:t>Student zna i rozumie zasady modelowania danych (model związków i encji ERD, model relacyjny) oraz teorię normalizacji baz danych (1NF–BCNF) i jej znaczenie dla integralności i wydajności systemu. [K_W13]</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K_W13</w:t>
            </w:r>
          </w:p>
        </w:tc>
        <w:tc>
          <w:tcPr>
            <w:tcW w:type="dxa" w:w="3324"/>
          </w:tcPr>
          <w:p>
            <w:pPr>
              <w:spacing w:before="20" w:after="20"/>
            </w:pPr>
            <w:r>
              <w:rPr>
                <w:rFonts w:ascii="Aptos" w:hAnsi="Aptos"/>
                <w:b w:val="0"/>
                <w:i w:val="0"/>
                <w:sz w:val="22"/>
              </w:rPr>
              <w:t>Student zna i rozumie zaawansowane możliwości języka SQL: podzapytania, złączenia (JOIN), widoki, procedury składowane, wyzwalacze i transakcje z różnymi poziomami izolacji. [K_W13]</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K_W13</w:t>
            </w:r>
          </w:p>
        </w:tc>
        <w:tc>
          <w:tcPr>
            <w:tcW w:type="dxa" w:w="3324"/>
          </w:tcPr>
          <w:p>
            <w:pPr>
              <w:spacing w:before="20" w:after="20"/>
            </w:pPr>
            <w:r>
              <w:rPr>
                <w:rFonts w:ascii="Aptos" w:hAnsi="Aptos"/>
                <w:b w:val="0"/>
                <w:i w:val="0"/>
                <w:sz w:val="22"/>
              </w:rPr>
              <w:t>Student zna i rozumie architekturę i zasady działania popularnych systemów RDBMS (PostgreSQL, MySQL, SQL Server), mechanizmy indeksowania i optymalizacji zapytań. [K_W13]</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K_U18</w:t>
            </w:r>
          </w:p>
        </w:tc>
        <w:tc>
          <w:tcPr>
            <w:tcW w:type="dxa" w:w="3324"/>
          </w:tcPr>
          <w:p>
            <w:pPr>
              <w:spacing w:before="20" w:after="20"/>
            </w:pPr>
            <w:r>
              <w:rPr>
                <w:rFonts w:ascii="Aptos" w:hAnsi="Aptos"/>
                <w:b w:val="0"/>
                <w:i w:val="0"/>
                <w:sz w:val="22"/>
              </w:rPr>
              <w:t>Student potrafi zaprojektować schemat relacyjnej bazy danych na podstawie wymagań, stosując normalizację, klucze obce i ograniczenia integralności. [K_U18]</w:t>
            </w:r>
          </w:p>
        </w:tc>
        <w:tc>
          <w:tcPr>
            <w:tcW w:type="dxa" w:w="3324"/>
          </w:tcPr>
          <w:p>
            <w:pPr>
              <w:spacing w:before="20" w:after="20"/>
            </w:pPr>
            <w:r>
              <w:rPr>
                <w:rFonts w:ascii="Aptos" w:hAnsi="Aptos"/>
                <w:b w:val="0"/>
                <w:i w:val="0"/>
                <w:sz w:val="22"/>
              </w:rPr>
              <w:t>kolokwium, ocena pracy podczas ćwiczenia</w:t>
            </w:r>
          </w:p>
        </w:tc>
      </w:tr>
      <w:tr>
        <w:tc>
          <w:tcPr>
            <w:tcW w:type="dxa" w:w="3324"/>
          </w:tcPr>
          <w:p>
            <w:pPr>
              <w:spacing w:before="20" w:after="20"/>
            </w:pPr>
            <w:r>
              <w:rPr>
                <w:rFonts w:ascii="Aptos" w:hAnsi="Aptos"/>
                <w:b w:val="0"/>
                <w:i w:val="0"/>
                <w:sz w:val="22"/>
              </w:rPr>
              <w:t>K_U18</w:t>
            </w:r>
          </w:p>
        </w:tc>
        <w:tc>
          <w:tcPr>
            <w:tcW w:type="dxa" w:w="3324"/>
          </w:tcPr>
          <w:p>
            <w:pPr>
              <w:spacing w:before="20" w:after="20"/>
            </w:pPr>
            <w:r>
              <w:rPr>
                <w:rFonts w:ascii="Aptos" w:hAnsi="Aptos"/>
                <w:b w:val="0"/>
                <w:i w:val="0"/>
                <w:sz w:val="22"/>
              </w:rPr>
              <w:t>Student potrafi pisać złożone zapytania SQL (w tym agregacje, podzapytania, złączenia wielu tabel) oraz implementować procedury składowane i wyzwalacze. [K_U18]</w:t>
            </w:r>
          </w:p>
        </w:tc>
        <w:tc>
          <w:tcPr>
            <w:tcW w:type="dxa" w:w="3324"/>
          </w:tcPr>
          <w:p>
            <w:pPr>
              <w:spacing w:before="20" w:after="20"/>
            </w:pPr>
            <w:r>
              <w:rPr>
                <w:rFonts w:ascii="Aptos" w:hAnsi="Aptos"/>
                <w:b w:val="0"/>
                <w:i w:val="0"/>
                <w:sz w:val="22"/>
              </w:rPr>
              <w:t>kolokwium, ocena pracy podczas ćwiczenia</w:t>
            </w:r>
          </w:p>
        </w:tc>
      </w:tr>
      <w:tr>
        <w:tc>
          <w:tcPr>
            <w:tcW w:type="dxa" w:w="3324"/>
          </w:tcPr>
          <w:p>
            <w:pPr>
              <w:spacing w:before="20" w:after="20"/>
            </w:pPr>
            <w:r>
              <w:rPr>
                <w:rFonts w:ascii="Aptos" w:hAnsi="Aptos"/>
                <w:b w:val="0"/>
                <w:i w:val="0"/>
                <w:sz w:val="22"/>
              </w:rPr>
              <w:t>K_U18</w:t>
            </w:r>
          </w:p>
        </w:tc>
        <w:tc>
          <w:tcPr>
            <w:tcW w:type="dxa" w:w="3324"/>
          </w:tcPr>
          <w:p>
            <w:pPr>
              <w:spacing w:before="20" w:after="20"/>
            </w:pPr>
            <w:r>
              <w:rPr>
                <w:rFonts w:ascii="Aptos" w:hAnsi="Aptos"/>
                <w:b w:val="0"/>
                <w:i w:val="0"/>
                <w:sz w:val="22"/>
              </w:rPr>
              <w:t>Student potrafi zarządzać transakcjami, konfigurować uprawnienia użytkowników oraz przeprowadzać tworzenie kopii zapasowych i odtwarzanie bazy danych. [K_U18]</w:t>
            </w:r>
          </w:p>
        </w:tc>
        <w:tc>
          <w:tcPr>
            <w:tcW w:type="dxa" w:w="3324"/>
          </w:tcPr>
          <w:p>
            <w:pPr>
              <w:spacing w:before="20" w:after="20"/>
            </w:pPr>
            <w:r>
              <w:rPr>
                <w:rFonts w:ascii="Aptos" w:hAnsi="Aptos"/>
                <w:b w:val="0"/>
                <w:i w:val="0"/>
                <w:sz w:val="22"/>
              </w:rPr>
              <w:t>kolokwium, ocena pracy podczas ćwiczenia</w:t>
            </w:r>
          </w:p>
        </w:tc>
      </w:tr>
      <w:tr>
        <w:tc>
          <w:tcPr>
            <w:tcW w:type="dxa" w:w="3324"/>
          </w:tcPr>
          <w:p>
            <w:pPr>
              <w:spacing w:before="20" w:after="20"/>
            </w:pPr>
            <w:r>
              <w:rPr>
                <w:rFonts w:ascii="Aptos" w:hAnsi="Aptos"/>
                <w:b w:val="0"/>
                <w:i w:val="0"/>
                <w:sz w:val="22"/>
              </w:rPr>
              <w:t>K_U27</w:t>
            </w:r>
          </w:p>
        </w:tc>
        <w:tc>
          <w:tcPr>
            <w:tcW w:type="dxa" w:w="3324"/>
          </w:tcPr>
          <w:p>
            <w:pPr>
              <w:spacing w:before="20" w:after="20"/>
            </w:pPr>
            <w:r>
              <w:rPr>
                <w:rFonts w:ascii="Aptos" w:hAnsi="Aptos"/>
                <w:b w:val="0"/>
                <w:i w:val="0"/>
                <w:sz w:val="22"/>
              </w:rPr>
              <w:t>Student potrafi zaplanować i zrealizować migrację danych oraz integrację bazy danych z aplikacją backendową. [K_U27]</w:t>
            </w:r>
          </w:p>
        </w:tc>
        <w:tc>
          <w:tcPr>
            <w:tcW w:type="dxa" w:w="3324"/>
          </w:tcPr>
          <w:p>
            <w:pPr>
              <w:spacing w:before="20" w:after="20"/>
            </w:pPr>
            <w:r>
              <w:rPr>
                <w:rFonts w:ascii="Aptos" w:hAnsi="Aptos"/>
                <w:b w:val="0"/>
                <w:i w:val="0"/>
                <w:sz w:val="22"/>
              </w:rPr>
              <w:t>kolokwium, 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K_K05</w:t>
            </w:r>
          </w:p>
        </w:tc>
        <w:tc>
          <w:tcPr>
            <w:tcW w:type="dxa" w:w="3324"/>
          </w:tcPr>
          <w:p>
            <w:pPr>
              <w:spacing w:before="20" w:after="20"/>
            </w:pPr>
            <w:r>
              <w:rPr>
                <w:rFonts w:ascii="Aptos" w:hAnsi="Aptos"/>
                <w:b w:val="0"/>
                <w:i w:val="0"/>
                <w:sz w:val="22"/>
              </w:rPr>
              <w:t>Student jest gotów do samodzielnego projektowania i optymalizacji rozwiązań bazodanowych w projektach inżynierskich z uwzględnieniem wymagań wydajnościowych i bezpieczeństwa danych. [K_K05]</w:t>
            </w:r>
          </w:p>
        </w:tc>
        <w:tc>
          <w:tcPr>
            <w:tcW w:type="dxa" w:w="3324"/>
          </w:tcPr>
          <w:p>
            <w:pPr>
              <w:spacing w:before="20" w:after="20"/>
            </w:pPr>
            <w:r>
              <w:rPr>
                <w:rFonts w:ascii="Aptos" w:hAnsi="Aptos"/>
                <w:b w:val="0"/>
                <w:i w:val="0"/>
                <w:sz w:val="22"/>
              </w:rPr>
              <w:t>kolokwium, ocena pracy podczas ćwiczenia</w:t>
            </w:r>
          </w:p>
        </w:tc>
      </w:tr>
      <w:tr>
        <w:tc>
          <w:tcPr>
            <w:tcW w:type="dxa" w:w="3324"/>
          </w:tcPr>
          <w:p>
            <w:pPr>
              <w:spacing w:before="20" w:after="20"/>
            </w:pPr>
            <w:r>
              <w:rPr>
                <w:rFonts w:ascii="Aptos" w:hAnsi="Aptos"/>
                <w:b w:val="0"/>
                <w:i w:val="0"/>
                <w:sz w:val="22"/>
              </w:rPr>
              <w:t>K_K03</w:t>
            </w:r>
          </w:p>
        </w:tc>
        <w:tc>
          <w:tcPr>
            <w:tcW w:type="dxa" w:w="3324"/>
          </w:tcPr>
          <w:p>
            <w:pPr>
              <w:spacing w:before="20" w:after="20"/>
            </w:pPr>
            <w:r>
              <w:rPr>
                <w:rFonts w:ascii="Aptos" w:hAnsi="Aptos"/>
                <w:b w:val="0"/>
                <w:i w:val="0"/>
                <w:sz w:val="22"/>
              </w:rPr>
              <w:t>Student jest gotów do ciągłego poszerzania wiedzy o nowych technologiach bazodanowych, w tym NoSQL i bazach czasu rzeczywistego. [K_K03]</w:t>
            </w:r>
          </w:p>
        </w:tc>
        <w:tc>
          <w:tcPr>
            <w:tcW w:type="dxa" w:w="3324"/>
          </w:tcPr>
          <w:p>
            <w:pPr>
              <w:spacing w:before="20" w:after="20"/>
            </w:pPr>
            <w:r>
              <w:rPr>
                <w:rFonts w:ascii="Aptos" w:hAnsi="Aptos"/>
                <w:b w:val="0"/>
                <w:i w:val="0"/>
                <w:sz w:val="22"/>
              </w:rPr>
              <w:t>kolokwium, 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