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(Netflix, Amazon, Spotify).</w:t>
            </w:r>
          </w:p>
          <w:p>
            <w:pPr>
              <w:spacing w:before="20" w:after="20"/>
            </w:pPr>
            <w:r>
              <w:rPr>
                <w:rFonts w:ascii="Aptos" w:hAnsi="Aptos"/>
                <w:b/>
                <w:sz w:val="22"/>
              </w:rPr>
              <w:t>Laboratorium:</w:t>
            </w:r>
          </w:p>
          <w:p>
            <w:pPr>
              <w:spacing w:before="20" w:after="20"/>
            </w:pPr>
            <w:r>
              <w:rPr>
                <w:rFonts w:ascii="Aptos" w:hAnsi="Aptos"/>
                <w:b w:val="0"/>
                <w:sz w:val="22"/>
              </w:rPr>
              <w:t>• Ćwiczenia praktyczne: projektowanie i implementacja mikroserwisów oraz mikrofrontendów z wykorzystaniem narzędzi branżowych (Docker, Kubernetes, Module Federation, Node.js).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W08. Event Sourcing: przechowywanie stanu jako sekwencji zdarzeń. Zalety i ograniczenia. Integracja z CQRS.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t>Wykład – egzamin pisemny:; Egzamin pisemny zawierający pytania otwarte i zamknięte sprawdzające wiedzę teoretyczną z zakresu architektury mikroserwisowej i mikrofrontendowej. Warunkiem zaliczenia jest uzyskanie co najmniej 51% punktów.; Skala ocen: 51–60% – 3.0, 61–70% – 3.5, 71–80% – 4.0, 81–90% – 4.5, 91–100% – 5.0.; Laboratorium – zaliczenie z oceną:; Ocena ciągła na podstawie sprawozdań z zajęć laboratoryjnych (40% oceny końcowej laboratorium).; Projekt końcowy: zaprojektowanie i zaimplementowanie systemu złożonego z co najmniej 3 mikroserwisów komunikujących się przez REST/message broker oraz odpowiadającego mikrofrontendu opartego na Module Federation (60% oceny końcowej laboratorium).; Warunkiem zaliczenia laboratorium jest oddanie wszystkich sprawozdań oraz obrona projektu końcowego.;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