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zadań; Kryteria oceny; prezentacja mini projektów; kolokwium praktyczne składające się z kilku zadań programistycznych;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